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2021年度山东省社会科学规划研究专项</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课题指南</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2021年度山东省社会科学规划研究专项总的指导思想是：高举中国特色社会主义伟大旗帜，以习近平新时代中国特色社会主义思想为指导，深入贯彻落实党的十九大和十九届二中、三中、四中、五中全会精神，深入学习贯彻习近平总书记视察山东重要讲话和重要指示批示精神，紧紧围绕“十四五”开局、庆祝建党一百周年和新时代现代化强省建设目标任务，以及省委确定的其他重点任务、重要战略部署，发挥省社科规划研究项目的示范引导作用，为“十四五”开好局、起好步和开启新时代现代化强省建设新征程提供有力的理论支撑和智力支持。</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2021年度山东省社会科学规划研究专项包括：习近平新时代中国特色社会主义思想研究专项、庆祝中国共产党成立一百周年研究专项、马克思主义大众化研究专项、沂蒙精神研究专项、山东省重大理论与现实问题协同创新研究专项、高校思想政治教育研究专项、打造山东对外开放新高地研究专项、数字山东研究专项、平安山东法治山东建设研究专项、弘扬中华优秀传统文化研究专项、文化旅游研究专项、山东人才研究专项、</w:t>
      </w:r>
      <w:r>
        <w:rPr>
          <w:rFonts w:hint="eastAsia" w:ascii="仿宋_GB2312" w:hAnsi="仿宋_GB2312" w:eastAsia="仿宋_GB2312" w:cs="仿宋_GB2312"/>
          <w:b/>
          <w:bCs/>
          <w:color w:val="auto"/>
          <w:sz w:val="32"/>
          <w:szCs w:val="32"/>
          <w:lang w:val="en-US" w:eastAsia="zh-CN"/>
        </w:rPr>
        <w:t>志</w:t>
      </w:r>
      <w:r>
        <w:rPr>
          <w:rFonts w:hint="eastAsia" w:ascii="仿宋_GB2312" w:hAnsi="仿宋_GB2312" w:eastAsia="仿宋_GB2312" w:cs="仿宋_GB2312"/>
          <w:b/>
          <w:bCs/>
          <w:sz w:val="32"/>
          <w:szCs w:val="32"/>
          <w:lang w:val="en-US" w:eastAsia="zh-CN"/>
        </w:rPr>
        <w:t>愿服务理论研究专项。</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申请人应结合我省经济社会发展及学科建设实际，合理设计选题。基础理论研究，要着力推出有分量有深度的研究成果。应用对策研究，要力求提出具有针对性、可操作性的对策建议，为各级党委和政府决策服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黑体" w:hAnsi="黑体" w:eastAsia="黑体" w:cs="黑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一、习近平新时代中国特色社会主义思想研究专项</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firstLine="643" w:firstLineChars="200"/>
        <w:jc w:val="both"/>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eastAsia="zh-CN"/>
        </w:rPr>
        <w:t>该专项旨在为</w:t>
      </w:r>
      <w:r>
        <w:rPr>
          <w:rFonts w:hint="eastAsia" w:ascii="楷体_GB2312" w:hAnsi="楷体_GB2312" w:eastAsia="楷体_GB2312" w:cs="楷体_GB2312"/>
          <w:b/>
          <w:bCs/>
          <w:color w:val="auto"/>
          <w:sz w:val="32"/>
          <w:szCs w:val="32"/>
        </w:rPr>
        <w:t>深化研究阐释中国特色社会主义理论体系特别是习近平新时代中国特色社会主义思想</w:t>
      </w:r>
      <w:r>
        <w:rPr>
          <w:rFonts w:hint="eastAsia" w:ascii="楷体_GB2312" w:hAnsi="楷体_GB2312" w:eastAsia="楷体_GB2312" w:cs="楷体_GB2312"/>
          <w:b/>
          <w:bCs/>
          <w:color w:val="auto"/>
          <w:sz w:val="32"/>
          <w:szCs w:val="32"/>
          <w:lang w:eastAsia="zh-CN"/>
        </w:rPr>
        <w:t>设立，</w:t>
      </w:r>
      <w:r>
        <w:rPr>
          <w:rFonts w:hint="eastAsia" w:ascii="楷体_GB2312" w:hAnsi="楷体_GB2312" w:eastAsia="楷体_GB2312" w:cs="楷体_GB2312"/>
          <w:b/>
          <w:bCs/>
          <w:color w:val="auto"/>
          <w:sz w:val="32"/>
          <w:szCs w:val="32"/>
        </w:rPr>
        <w:t>同时列入山东省中国特色社会主义理论体系研究中心（中共山东省委习近平新时代中国特色社会主义思想研究中心）重点项目。</w:t>
      </w:r>
      <w:r>
        <w:rPr>
          <w:rFonts w:hint="eastAsia" w:ascii="楷体_GB2312" w:hAnsi="楷体_GB2312" w:eastAsia="楷体_GB2312" w:cs="楷体_GB2312"/>
          <w:b/>
          <w:bCs/>
          <w:color w:val="auto"/>
          <w:sz w:val="32"/>
          <w:szCs w:val="32"/>
          <w:shd w:val="clear" w:color="auto" w:fill="FFFFFF"/>
        </w:rPr>
        <w:t>全省公办普通本科院校及科研机构均可申报。</w:t>
      </w:r>
      <w:r>
        <w:rPr>
          <w:rFonts w:hint="eastAsia" w:ascii="楷体_GB2312" w:hAnsi="楷体_GB2312" w:eastAsia="楷体_GB2312" w:cs="楷体_GB2312"/>
          <w:b/>
          <w:bCs/>
          <w:color w:val="auto"/>
          <w:sz w:val="32"/>
          <w:szCs w:val="32"/>
          <w:shd w:val="clear" w:color="auto" w:fill="FFFFFF"/>
          <w:lang w:eastAsia="zh-CN"/>
        </w:rPr>
        <w:t>成果形式为研究报告或专著。</w:t>
      </w:r>
      <w:r>
        <w:rPr>
          <w:rFonts w:hint="eastAsia" w:ascii="楷体_GB2312" w:hAnsi="楷体_GB2312" w:eastAsia="楷体_GB2312" w:cs="楷体_GB2312"/>
          <w:b/>
          <w:bCs/>
          <w:color w:val="auto"/>
          <w:sz w:val="32"/>
          <w:szCs w:val="32"/>
        </w:rPr>
        <w:t>研究时限一般为</w:t>
      </w:r>
      <w:r>
        <w:rPr>
          <w:rFonts w:hint="eastAsia" w:ascii="楷体_GB2312" w:hAnsi="楷体_GB2312" w:eastAsia="楷体_GB2312" w:cs="楷体_GB2312"/>
          <w:b/>
          <w:bCs/>
          <w:color w:val="auto"/>
          <w:sz w:val="32"/>
          <w:szCs w:val="32"/>
          <w:lang w:val="en-US" w:eastAsia="zh-CN"/>
        </w:rPr>
        <w:t>2</w:t>
      </w:r>
      <w:r>
        <w:rPr>
          <w:rFonts w:hint="eastAsia" w:ascii="楷体_GB2312" w:hAnsi="楷体_GB2312" w:eastAsia="楷体_GB2312" w:cs="楷体_GB2312"/>
          <w:b/>
          <w:bCs/>
          <w:color w:val="auto"/>
          <w:sz w:val="32"/>
          <w:szCs w:val="32"/>
          <w:lang w:eastAsia="zh-CN"/>
        </w:rPr>
        <w:t>年</w:t>
      </w:r>
      <w:r>
        <w:rPr>
          <w:rFonts w:hint="eastAsia" w:ascii="楷体_GB2312" w:hAnsi="楷体_GB2312" w:eastAsia="楷体_GB2312" w:cs="楷体_GB2312"/>
          <w:b/>
          <w:bCs/>
          <w:color w:val="auto"/>
          <w:sz w:val="32"/>
          <w:szCs w:val="32"/>
        </w:rPr>
        <w:t>，特殊情况可申请延期一次，延期最长不超过6个月</w:t>
      </w:r>
      <w:r>
        <w:rPr>
          <w:rFonts w:hint="eastAsia" w:ascii="楷体_GB2312" w:hAnsi="楷体_GB2312" w:eastAsia="楷体_GB2312" w:cs="楷体_GB2312"/>
          <w:b/>
          <w:bCs/>
          <w:color w:val="auto"/>
          <w:sz w:val="32"/>
          <w:szCs w:val="32"/>
          <w:lang w:eastAsia="zh-CN"/>
        </w:rPr>
        <w:t>。</w:t>
      </w:r>
      <w:r>
        <w:rPr>
          <w:rFonts w:hint="eastAsia" w:ascii="楷体_GB2312" w:hAnsi="楷体_GB2312" w:eastAsia="楷体_GB2312" w:cs="楷体_GB2312"/>
          <w:b/>
          <w:bCs/>
          <w:color w:val="auto"/>
          <w:sz w:val="32"/>
          <w:szCs w:val="32"/>
        </w:rPr>
        <w:t>课题</w:t>
      </w:r>
      <w:r>
        <w:rPr>
          <w:rFonts w:hint="eastAsia" w:ascii="楷体_GB2312" w:hAnsi="楷体_GB2312" w:eastAsia="楷体_GB2312" w:cs="楷体_GB2312"/>
          <w:b/>
          <w:bCs/>
          <w:color w:val="auto"/>
          <w:sz w:val="32"/>
          <w:szCs w:val="32"/>
          <w:lang w:eastAsia="zh-CN"/>
        </w:rPr>
        <w:t>须</w:t>
      </w:r>
      <w:r>
        <w:rPr>
          <w:rFonts w:hint="eastAsia" w:ascii="楷体_GB2312" w:hAnsi="楷体_GB2312" w:eastAsia="楷体_GB2312" w:cs="楷体_GB2312"/>
          <w:b/>
          <w:bCs/>
          <w:color w:val="auto"/>
          <w:sz w:val="32"/>
          <w:szCs w:val="32"/>
        </w:rPr>
        <w:t>在《人民日报》《光明日报》《经济日报》《求是》杂志等中央主要媒体发表</w:t>
      </w:r>
      <w:r>
        <w:rPr>
          <w:rFonts w:hint="eastAsia" w:ascii="楷体_GB2312" w:hAnsi="楷体_GB2312" w:eastAsia="楷体_GB2312" w:cs="楷体_GB2312"/>
          <w:b/>
          <w:bCs/>
          <w:color w:val="auto"/>
          <w:sz w:val="32"/>
          <w:szCs w:val="32"/>
          <w:lang w:eastAsia="zh-CN"/>
        </w:rPr>
        <w:t>至少</w:t>
      </w:r>
      <w:r>
        <w:rPr>
          <w:rFonts w:hint="eastAsia" w:ascii="楷体_GB2312" w:hAnsi="楷体_GB2312" w:eastAsia="楷体_GB2312" w:cs="楷体_GB2312"/>
          <w:b/>
          <w:bCs/>
          <w:color w:val="auto"/>
          <w:sz w:val="32"/>
          <w:szCs w:val="32"/>
        </w:rPr>
        <w:t>1篇（字数不少于2000字）理论文章</w:t>
      </w:r>
      <w:r>
        <w:rPr>
          <w:rFonts w:hint="eastAsia" w:ascii="楷体_GB2312" w:hAnsi="楷体_GB2312" w:eastAsia="楷体_GB2312" w:cs="楷体_GB2312"/>
          <w:b/>
          <w:bCs/>
          <w:color w:val="auto"/>
          <w:sz w:val="32"/>
          <w:szCs w:val="32"/>
          <w:lang w:eastAsia="zh-CN"/>
        </w:rPr>
        <w:t>。</w:t>
      </w:r>
      <w:r>
        <w:rPr>
          <w:rFonts w:hint="eastAsia" w:ascii="楷体_GB2312" w:hAnsi="楷体_GB2312" w:eastAsia="楷体_GB2312" w:cs="楷体_GB2312"/>
          <w:b/>
          <w:bCs/>
          <w:color w:val="auto"/>
          <w:sz w:val="32"/>
          <w:szCs w:val="32"/>
        </w:rPr>
        <w:t>专著应在省级以上有正规资质的出版社公开出版，才能申请结项。公开发表、出版必须注明“山东省中国特色社会主义理论体系研究中心”字样。</w:t>
      </w:r>
      <w:r>
        <w:rPr>
          <w:rFonts w:hint="eastAsia" w:ascii="楷体_GB2312" w:hAnsi="楷体_GB2312" w:eastAsia="楷体_GB2312" w:cs="楷体_GB2312"/>
          <w:b/>
          <w:bCs/>
          <w:color w:val="auto"/>
          <w:sz w:val="32"/>
          <w:szCs w:val="32"/>
          <w:lang w:eastAsia="zh-CN"/>
        </w:rPr>
        <w:t>计划立项</w:t>
      </w:r>
      <w:r>
        <w:rPr>
          <w:rFonts w:hint="eastAsia" w:ascii="楷体_GB2312" w:hAnsi="楷体_GB2312" w:eastAsia="楷体_GB2312" w:cs="楷体_GB2312"/>
          <w:b/>
          <w:bCs/>
          <w:color w:val="auto"/>
          <w:sz w:val="32"/>
          <w:szCs w:val="32"/>
          <w:lang w:val="en-US" w:eastAsia="zh-CN"/>
        </w:rPr>
        <w:t>15项。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习近平关于党的建设基本规律重要论述研究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2</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rPr>
        <w:t>习近平关于党史、新中国史、改革开放史、社会主义发展史重要论述研究</w:t>
      </w:r>
    </w:p>
    <w:p>
      <w:pPr>
        <w:keepNext w:val="0"/>
        <w:keepLines w:val="0"/>
        <w:pageBreakBefore w:val="0"/>
        <w:widowControl w:val="0"/>
        <w:kinsoku/>
        <w:wordWrap/>
        <w:overflowPunct/>
        <w:topLinePunct w:val="0"/>
        <w:autoSpaceDE/>
        <w:autoSpaceDN/>
        <w:bidi w:val="0"/>
        <w:adjustRightInd/>
        <w:snapToGrid/>
        <w:spacing w:line="600" w:lineRule="exact"/>
        <w:ind w:left="640" w:leftChars="305" w:firstLine="0" w:firstLineChars="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习近平法治思想研究</w:t>
      </w:r>
    </w:p>
    <w:p>
      <w:pPr>
        <w:keepNext w:val="0"/>
        <w:keepLines w:val="0"/>
        <w:pageBreakBefore w:val="0"/>
        <w:widowControl w:val="0"/>
        <w:kinsoku/>
        <w:wordWrap/>
        <w:overflowPunct/>
        <w:topLinePunct w:val="0"/>
        <w:autoSpaceDE/>
        <w:autoSpaceDN/>
        <w:bidi w:val="0"/>
        <w:adjustRightInd/>
        <w:snapToGrid/>
        <w:spacing w:line="600" w:lineRule="exact"/>
        <w:ind w:left="640" w:leftChars="305" w:firstLine="0" w:firstLineChars="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习近平关于伟大抗疫精神重要论述研究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5.习近平关于构建人类卫生健康共同体重要论述研究</w:t>
      </w:r>
    </w:p>
    <w:p>
      <w:pPr>
        <w:keepNext w:val="0"/>
        <w:keepLines w:val="0"/>
        <w:pageBreakBefore w:val="0"/>
        <w:widowControl w:val="0"/>
        <w:kinsoku/>
        <w:wordWrap/>
        <w:overflowPunct/>
        <w:topLinePunct w:val="0"/>
        <w:autoSpaceDE/>
        <w:autoSpaceDN/>
        <w:bidi w:val="0"/>
        <w:adjustRightInd/>
        <w:snapToGrid/>
        <w:spacing w:line="600" w:lineRule="exact"/>
        <w:ind w:left="640" w:leftChars="305" w:firstLine="0" w:firstLineChars="0"/>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6.习近平关于高质量发展重要论述研究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7.坚持马克思主义在意识形态领域指导地位的根本制度研究</w:t>
      </w:r>
    </w:p>
    <w:p>
      <w:pPr>
        <w:keepNext w:val="0"/>
        <w:keepLines w:val="0"/>
        <w:pageBreakBefore w:val="0"/>
        <w:widowControl w:val="0"/>
        <w:kinsoku/>
        <w:wordWrap/>
        <w:overflowPunct/>
        <w:topLinePunct w:val="0"/>
        <w:autoSpaceDE/>
        <w:autoSpaceDN/>
        <w:bidi w:val="0"/>
        <w:adjustRightInd/>
        <w:snapToGrid/>
        <w:spacing w:line="600" w:lineRule="exact"/>
        <w:ind w:left="640" w:leftChars="305" w:firstLine="0" w:firstLineChars="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8.</w:t>
      </w:r>
      <w:r>
        <w:rPr>
          <w:rFonts w:hint="eastAsia" w:ascii="仿宋_GB2312" w:hAnsi="仿宋_GB2312" w:eastAsia="仿宋_GB2312" w:cs="仿宋_GB2312"/>
          <w:b/>
          <w:bCs/>
          <w:sz w:val="32"/>
          <w:szCs w:val="32"/>
          <w:lang w:eastAsia="zh-CN"/>
        </w:rPr>
        <w:t>以高质量发展推进文化强国建设研究</w:t>
      </w:r>
    </w:p>
    <w:p>
      <w:pPr>
        <w:keepNext w:val="0"/>
        <w:keepLines w:val="0"/>
        <w:pageBreakBefore w:val="0"/>
        <w:widowControl w:val="0"/>
        <w:kinsoku/>
        <w:wordWrap/>
        <w:overflowPunct/>
        <w:topLinePunct w:val="0"/>
        <w:autoSpaceDE/>
        <w:autoSpaceDN/>
        <w:bidi w:val="0"/>
        <w:adjustRightInd/>
        <w:snapToGrid/>
        <w:spacing w:line="600" w:lineRule="exact"/>
        <w:ind w:left="640" w:leftChars="305" w:firstLine="0" w:firstLineChars="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9.</w:t>
      </w:r>
      <w:r>
        <w:rPr>
          <w:rFonts w:hint="eastAsia" w:ascii="仿宋_GB2312" w:hAnsi="仿宋_GB2312" w:eastAsia="仿宋_GB2312" w:cs="仿宋_GB2312"/>
          <w:b/>
          <w:bCs/>
          <w:sz w:val="32"/>
          <w:szCs w:val="32"/>
          <w:lang w:eastAsia="zh-CN"/>
        </w:rPr>
        <w:t>完整准确全面贯彻新发展理念研究</w:t>
      </w:r>
    </w:p>
    <w:p>
      <w:pPr>
        <w:keepNext w:val="0"/>
        <w:keepLines w:val="0"/>
        <w:pageBreakBefore w:val="0"/>
        <w:widowControl w:val="0"/>
        <w:kinsoku/>
        <w:wordWrap/>
        <w:overflowPunct/>
        <w:topLinePunct w:val="0"/>
        <w:autoSpaceDE/>
        <w:autoSpaceDN/>
        <w:bidi w:val="0"/>
        <w:adjustRightInd/>
        <w:snapToGrid/>
        <w:spacing w:line="600" w:lineRule="exact"/>
        <w:ind w:left="640" w:leftChars="305" w:firstLine="0" w:firstLineChars="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10.</w:t>
      </w:r>
      <w:r>
        <w:rPr>
          <w:rFonts w:hint="eastAsia" w:ascii="仿宋_GB2312" w:hAnsi="仿宋_GB2312" w:eastAsia="仿宋_GB2312" w:cs="仿宋_GB2312"/>
          <w:b/>
          <w:bCs/>
          <w:sz w:val="32"/>
          <w:szCs w:val="32"/>
        </w:rPr>
        <w:t>中国特色反贫困理论研究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11.</w:t>
      </w:r>
      <w:r>
        <w:rPr>
          <w:rFonts w:hint="eastAsia" w:ascii="仿宋_GB2312" w:hAnsi="仿宋_GB2312" w:eastAsia="仿宋_GB2312" w:cs="仿宋_GB2312"/>
          <w:b/>
          <w:bCs/>
          <w:sz w:val="32"/>
          <w:szCs w:val="32"/>
          <w:lang w:eastAsia="zh-CN"/>
        </w:rPr>
        <w:t>坚持全体人民共同富裕取得更为明显实质性进展研究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12.</w:t>
      </w:r>
      <w:r>
        <w:rPr>
          <w:rFonts w:hint="eastAsia" w:ascii="仿宋_GB2312" w:hAnsi="仿宋_GB2312" w:eastAsia="仿宋_GB2312" w:cs="仿宋_GB2312"/>
          <w:b/>
          <w:bCs/>
          <w:sz w:val="32"/>
          <w:szCs w:val="32"/>
        </w:rPr>
        <w:t>统筹中华民族伟大复兴战略全局和世界百年未有之大变局研究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13.黄河流域生态保护和高质量发展战略研究</w:t>
      </w:r>
    </w:p>
    <w:p>
      <w:pPr>
        <w:pStyle w:val="2"/>
        <w:spacing w:line="600" w:lineRule="exact"/>
        <w:rPr>
          <w:rFonts w:hint="eastAsia"/>
          <w:color w:val="FF000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30" w:leftChars="0"/>
        <w:jc w:val="both"/>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二、庆祝中国共产党成立一百周年研究专项</w:t>
      </w:r>
    </w:p>
    <w:p>
      <w:pPr>
        <w:pStyle w:val="3"/>
        <w:keepNext w:val="0"/>
        <w:keepLines w:val="0"/>
        <w:pageBreakBefore w:val="0"/>
        <w:kinsoku/>
        <w:wordWrap/>
        <w:overflowPunct/>
        <w:topLinePunct w:val="0"/>
        <w:bidi w:val="0"/>
        <w:adjustRightInd w:val="0"/>
        <w:snapToGrid w:val="0"/>
        <w:spacing w:before="0" w:beforeAutospacing="0" w:after="0" w:afterAutospacing="0" w:line="600" w:lineRule="exact"/>
        <w:ind w:firstLine="643" w:firstLineChars="200"/>
        <w:jc w:val="both"/>
        <w:textAlignment w:val="auto"/>
        <w:rPr>
          <w:rFonts w:hint="eastAsia" w:ascii="楷体_GB2312" w:hAnsi="楷体_GB2312" w:eastAsia="楷体_GB2312" w:cs="楷体_GB2312"/>
          <w:b/>
          <w:bCs w:val="0"/>
          <w:color w:val="auto"/>
          <w:sz w:val="32"/>
          <w:szCs w:val="21"/>
          <w:lang w:val="en-US" w:eastAsia="zh-CN"/>
        </w:rPr>
      </w:pPr>
      <w:r>
        <w:rPr>
          <w:rFonts w:hint="eastAsia" w:ascii="楷体_GB2312" w:hAnsi="楷体_GB2312" w:eastAsia="楷体_GB2312" w:cs="楷体_GB2312"/>
          <w:b/>
          <w:bCs w:val="0"/>
          <w:sz w:val="32"/>
          <w:szCs w:val="32"/>
        </w:rPr>
        <w:t>该专项研究紧紧围绕</w:t>
      </w:r>
      <w:r>
        <w:rPr>
          <w:rFonts w:hint="eastAsia" w:ascii="楷体_GB2312" w:hAnsi="楷体_GB2312" w:eastAsia="楷体_GB2312" w:cs="楷体_GB2312"/>
          <w:b/>
          <w:bCs w:val="0"/>
          <w:sz w:val="32"/>
          <w:szCs w:val="32"/>
          <w:lang w:val="en-US" w:eastAsia="zh-CN"/>
        </w:rPr>
        <w:t>庆祝建党一百周年设立，</w:t>
      </w:r>
      <w:r>
        <w:rPr>
          <w:rFonts w:hint="eastAsia" w:ascii="楷体_GB2312" w:hAnsi="楷体_GB2312" w:eastAsia="楷体_GB2312" w:cs="楷体_GB2312"/>
          <w:b/>
          <w:bCs w:val="0"/>
          <w:color w:val="auto"/>
          <w:sz w:val="32"/>
          <w:szCs w:val="32"/>
          <w:lang w:val="en-US" w:eastAsia="zh-CN"/>
        </w:rPr>
        <w:t>由两部分组成：“中共山东党史研究专题”和“党的建设理论与实践研究专题”。申报</w:t>
      </w:r>
      <w:r>
        <w:rPr>
          <w:rFonts w:hint="eastAsia" w:ascii="楷体_GB2312" w:hAnsi="楷体_GB2312" w:eastAsia="楷体_GB2312" w:cs="楷体_GB2312"/>
          <w:b/>
          <w:bCs w:val="0"/>
          <w:color w:val="auto"/>
          <w:sz w:val="32"/>
          <w:szCs w:val="32"/>
        </w:rPr>
        <w:t>者可以按照选题确定的方向，</w:t>
      </w:r>
      <w:r>
        <w:rPr>
          <w:rFonts w:hint="eastAsia" w:ascii="楷体_GB2312" w:hAnsi="楷体_GB2312" w:eastAsia="楷体_GB2312" w:cs="楷体_GB2312"/>
          <w:b/>
          <w:bCs w:val="0"/>
          <w:color w:val="auto"/>
          <w:sz w:val="32"/>
          <w:szCs w:val="21"/>
        </w:rPr>
        <w:t>选择不同的角度自行</w:t>
      </w:r>
      <w:r>
        <w:rPr>
          <w:rFonts w:hint="eastAsia" w:ascii="楷体_GB2312" w:hAnsi="楷体_GB2312" w:eastAsia="楷体_GB2312" w:cs="楷体_GB2312"/>
          <w:b/>
          <w:bCs w:val="0"/>
          <w:color w:val="auto"/>
          <w:sz w:val="32"/>
          <w:szCs w:val="21"/>
          <w:lang w:eastAsia="zh-CN"/>
        </w:rPr>
        <w:t>设计</w:t>
      </w:r>
      <w:r>
        <w:rPr>
          <w:rFonts w:hint="eastAsia" w:ascii="楷体_GB2312" w:hAnsi="楷体_GB2312" w:eastAsia="楷体_GB2312" w:cs="楷体_GB2312"/>
          <w:b/>
          <w:bCs w:val="0"/>
          <w:color w:val="auto"/>
          <w:sz w:val="32"/>
          <w:szCs w:val="21"/>
        </w:rPr>
        <w:t>具体</w:t>
      </w:r>
      <w:r>
        <w:rPr>
          <w:rFonts w:hint="eastAsia" w:ascii="楷体_GB2312" w:hAnsi="楷体_GB2312" w:eastAsia="楷体_GB2312" w:cs="楷体_GB2312"/>
          <w:b/>
          <w:bCs w:val="0"/>
          <w:color w:val="auto"/>
          <w:sz w:val="32"/>
          <w:szCs w:val="21"/>
          <w:lang w:eastAsia="zh-CN"/>
        </w:rPr>
        <w:t>研究</w:t>
      </w:r>
      <w:r>
        <w:rPr>
          <w:rFonts w:hint="eastAsia" w:ascii="楷体_GB2312" w:hAnsi="楷体_GB2312" w:eastAsia="楷体_GB2312" w:cs="楷体_GB2312"/>
          <w:b/>
          <w:bCs w:val="0"/>
          <w:color w:val="auto"/>
          <w:sz w:val="32"/>
          <w:szCs w:val="21"/>
        </w:rPr>
        <w:t>题目。</w:t>
      </w:r>
      <w:r>
        <w:rPr>
          <w:rFonts w:hint="eastAsia" w:ascii="楷体_GB2312" w:hAnsi="楷体_GB2312" w:eastAsia="楷体_GB2312" w:cs="楷体_GB2312"/>
          <w:b/>
          <w:bCs w:val="0"/>
          <w:color w:val="auto"/>
          <w:sz w:val="32"/>
          <w:szCs w:val="21"/>
          <w:lang w:val="en-US" w:eastAsia="zh-CN"/>
        </w:rPr>
        <w:t xml:space="preserve">  </w:t>
      </w:r>
    </w:p>
    <w:p>
      <w:pPr>
        <w:pStyle w:val="3"/>
        <w:keepNext w:val="0"/>
        <w:keepLines w:val="0"/>
        <w:pageBreakBefore w:val="0"/>
        <w:kinsoku/>
        <w:wordWrap/>
        <w:overflowPunct/>
        <w:topLinePunct w:val="0"/>
        <w:bidi w:val="0"/>
        <w:adjustRightInd w:val="0"/>
        <w:snapToGrid w:val="0"/>
        <w:spacing w:before="0" w:beforeAutospacing="0" w:after="0" w:afterAutospacing="0" w:line="600" w:lineRule="exact"/>
        <w:ind w:firstLine="643" w:firstLineChars="200"/>
        <w:jc w:val="both"/>
        <w:textAlignment w:val="auto"/>
        <w:rPr>
          <w:rFonts w:hint="default" w:ascii="楷体_GB2312" w:hAnsi="楷体_GB2312" w:eastAsia="楷体_GB2312" w:cs="楷体_GB2312"/>
          <w:b/>
          <w:bCs w:val="0"/>
          <w:sz w:val="32"/>
          <w:szCs w:val="32"/>
          <w:lang w:val="en-US" w:eastAsia="zh-CN"/>
        </w:rPr>
      </w:pPr>
      <w:r>
        <w:rPr>
          <w:rFonts w:hint="eastAsia" w:ascii="楷体_GB2312" w:hAnsi="楷体_GB2312" w:eastAsia="楷体_GB2312" w:cs="楷体_GB2312"/>
          <w:b/>
          <w:bCs w:val="0"/>
          <w:sz w:val="32"/>
          <w:szCs w:val="32"/>
          <w:lang w:val="en-US" w:eastAsia="zh-CN"/>
        </w:rPr>
        <w:t>中共山东党史研究专题</w:t>
      </w:r>
      <w:r>
        <w:rPr>
          <w:rFonts w:hint="eastAsia" w:ascii="楷体_GB2312" w:hAnsi="楷体_GB2312" w:eastAsia="楷体_GB2312" w:cs="楷体_GB2312"/>
          <w:b/>
          <w:bCs w:val="0"/>
          <w:sz w:val="32"/>
          <w:szCs w:val="32"/>
          <w:lang w:eastAsia="zh-CN"/>
        </w:rPr>
        <w:t>成果形式为研究报告。完成时限2年。计划立项</w:t>
      </w:r>
      <w:r>
        <w:rPr>
          <w:rFonts w:hint="eastAsia" w:ascii="楷体_GB2312" w:hAnsi="楷体_GB2312" w:eastAsia="楷体_GB2312" w:cs="楷体_GB2312"/>
          <w:b/>
          <w:bCs w:val="0"/>
          <w:sz w:val="32"/>
          <w:szCs w:val="32"/>
          <w:lang w:val="en-US" w:eastAsia="zh-CN"/>
        </w:rPr>
        <w:t>30项。申报材料中的项目类别为“中共山东党史研究专题”。</w:t>
      </w:r>
    </w:p>
    <w:p>
      <w:pPr>
        <w:pStyle w:val="3"/>
        <w:keepNext w:val="0"/>
        <w:keepLines w:val="0"/>
        <w:pageBreakBefore w:val="0"/>
        <w:kinsoku/>
        <w:wordWrap/>
        <w:overflowPunct/>
        <w:topLinePunct w:val="0"/>
        <w:bidi w:val="0"/>
        <w:adjustRightInd w:val="0"/>
        <w:snapToGrid w:val="0"/>
        <w:spacing w:before="0" w:beforeAutospacing="0" w:after="0" w:afterAutospacing="0" w:line="600" w:lineRule="exact"/>
        <w:ind w:firstLine="643" w:firstLineChars="200"/>
        <w:jc w:val="both"/>
        <w:textAlignment w:val="auto"/>
        <w:rPr>
          <w:rFonts w:hint="eastAsia" w:ascii="楷体_GB2312" w:hAnsi="楷体_GB2312" w:eastAsia="楷体_GB2312" w:cs="楷体_GB2312"/>
          <w:b/>
          <w:bCs w:val="0"/>
          <w:sz w:val="32"/>
          <w:szCs w:val="32"/>
          <w:lang w:eastAsia="zh-CN"/>
        </w:rPr>
      </w:pPr>
      <w:r>
        <w:rPr>
          <w:rFonts w:hint="eastAsia" w:ascii="楷体_GB2312" w:hAnsi="楷体_GB2312" w:eastAsia="楷体_GB2312" w:cs="楷体_GB2312"/>
          <w:b/>
          <w:bCs w:val="0"/>
          <w:sz w:val="32"/>
          <w:szCs w:val="32"/>
          <w:lang w:eastAsia="zh-CN"/>
        </w:rPr>
        <w:t>党的建设理论与实践研究专</w:t>
      </w:r>
      <w:r>
        <w:rPr>
          <w:rFonts w:hint="eastAsia" w:ascii="楷体_GB2312" w:hAnsi="楷体_GB2312" w:eastAsia="楷体_GB2312" w:cs="楷体_GB2312"/>
          <w:b/>
          <w:bCs w:val="0"/>
          <w:sz w:val="32"/>
          <w:szCs w:val="32"/>
          <w:lang w:val="en-US" w:eastAsia="zh-CN"/>
        </w:rPr>
        <w:t>题，</w:t>
      </w:r>
      <w:r>
        <w:rPr>
          <w:rFonts w:hint="eastAsia" w:ascii="楷体_GB2312" w:hAnsi="楷体_GB2312" w:eastAsia="楷体_GB2312" w:cs="楷体_GB2312"/>
          <w:b/>
          <w:bCs/>
          <w:color w:val="auto"/>
          <w:sz w:val="32"/>
          <w:szCs w:val="32"/>
          <w:lang w:val="en-US" w:eastAsia="zh-CN"/>
        </w:rPr>
        <w:t>社科研究机构、高等院校、市级以上党校及党史研究院凡具有副高以上职称或者博士学位的研究人员均可申报。</w:t>
      </w:r>
      <w:r>
        <w:rPr>
          <w:rFonts w:hint="eastAsia" w:ascii="楷体_GB2312" w:hAnsi="楷体_GB2312" w:eastAsia="楷体_GB2312" w:cs="楷体_GB2312"/>
          <w:b/>
          <w:bCs w:val="0"/>
          <w:sz w:val="32"/>
          <w:szCs w:val="32"/>
          <w:lang w:eastAsia="zh-CN"/>
        </w:rPr>
        <w:t>成果形式为研究报告的，申请结项时，重点项目需报送在全国中文核心期刊、中国人文社会科学核心期刊发表的阶段性研究成果2篇（其中1篇需是CSSCI来源期刊）；一般项目需报送在全国中文核心期刊、中国人文社会科学核心期刊发表的阶段性研究成果1篇。重点项目完成时限一般不超过2年，一般项目完成时限一般不超过1年。计划立项25项，其中重点项目</w:t>
      </w:r>
      <w:r>
        <w:rPr>
          <w:rFonts w:hint="eastAsia" w:ascii="楷体_GB2312" w:hAnsi="楷体_GB2312" w:eastAsia="楷体_GB2312" w:cs="楷体_GB2312"/>
          <w:b/>
          <w:bCs w:val="0"/>
          <w:sz w:val="32"/>
          <w:szCs w:val="32"/>
          <w:lang w:val="en-US" w:eastAsia="zh-CN"/>
        </w:rPr>
        <w:t>4</w:t>
      </w:r>
      <w:r>
        <w:rPr>
          <w:rFonts w:hint="eastAsia" w:ascii="楷体_GB2312" w:hAnsi="楷体_GB2312" w:eastAsia="楷体_GB2312" w:cs="楷体_GB2312"/>
          <w:b/>
          <w:bCs w:val="0"/>
          <w:sz w:val="32"/>
          <w:szCs w:val="32"/>
          <w:lang w:eastAsia="zh-CN"/>
        </w:rPr>
        <w:t>项，一般项目</w:t>
      </w:r>
      <w:r>
        <w:rPr>
          <w:rFonts w:hint="eastAsia" w:ascii="楷体_GB2312" w:hAnsi="楷体_GB2312" w:eastAsia="楷体_GB2312" w:cs="楷体_GB2312"/>
          <w:b/>
          <w:bCs w:val="0"/>
          <w:sz w:val="32"/>
          <w:szCs w:val="32"/>
          <w:lang w:val="en-US" w:eastAsia="zh-CN"/>
        </w:rPr>
        <w:t>21</w:t>
      </w:r>
      <w:r>
        <w:rPr>
          <w:rFonts w:hint="eastAsia" w:ascii="楷体_GB2312" w:hAnsi="楷体_GB2312" w:eastAsia="楷体_GB2312" w:cs="楷体_GB2312"/>
          <w:b/>
          <w:bCs w:val="0"/>
          <w:sz w:val="32"/>
          <w:szCs w:val="32"/>
          <w:lang w:eastAsia="zh-CN"/>
        </w:rPr>
        <w:t>项。</w:t>
      </w:r>
      <w:r>
        <w:rPr>
          <w:rFonts w:hint="eastAsia" w:ascii="楷体_GB2312" w:hAnsi="楷体_GB2312" w:eastAsia="楷体_GB2312" w:cs="楷体_GB2312"/>
          <w:b/>
          <w:bCs w:val="0"/>
          <w:sz w:val="32"/>
          <w:szCs w:val="32"/>
          <w:lang w:val="en-US" w:eastAsia="zh-CN"/>
        </w:rPr>
        <w:t>申报材料中的项目类别为</w:t>
      </w:r>
      <w:r>
        <w:rPr>
          <w:rFonts w:hint="eastAsia" w:ascii="楷体_GB2312" w:hAnsi="楷体_GB2312" w:eastAsia="楷体_GB2312" w:cs="楷体_GB2312"/>
          <w:b/>
          <w:bCs w:val="0"/>
          <w:color w:val="auto"/>
          <w:sz w:val="32"/>
          <w:szCs w:val="32"/>
          <w:lang w:val="en-US" w:eastAsia="zh-CN"/>
        </w:rPr>
        <w:t>“党的建设理论与实践研究专题”。</w:t>
      </w:r>
    </w:p>
    <w:p>
      <w:pPr>
        <w:pStyle w:val="2"/>
        <w:spacing w:line="600" w:lineRule="exact"/>
        <w:rPr>
          <w:rFonts w:hint="eastAsia"/>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中共山东党史研究专题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1.百年视阈下党的理论创新在山东实践研究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2.百年视阈下山东党组织践行初心使命研究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3.百年视阈下山东党组织应对风险挑战研究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4.百年视阈下山东党组织推进自我革命研究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5.百年视阈下山东红色基因的历史内涵和时代价值研究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6.山东重要党史事件、重要党史人物与百年大党研究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7.山东地方志编纂及旧志整理研究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8.山东方志与优秀传统文化传承研究</w:t>
      </w:r>
    </w:p>
    <w:p>
      <w:pPr>
        <w:pStyle w:val="2"/>
        <w:spacing w:line="600" w:lineRule="exact"/>
        <w:rPr>
          <w:rFonts w:hint="eastAsia"/>
          <w:sz w:val="32"/>
          <w:szCs w:val="32"/>
          <w:lang w:val="en-US" w:eastAsia="zh-CN"/>
        </w:rPr>
      </w:pPr>
    </w:p>
    <w:p>
      <w:pPr>
        <w:pStyle w:val="2"/>
        <w:spacing w:line="600" w:lineRule="exact"/>
        <w:ind w:firstLine="643"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b/>
          <w:bCs/>
          <w:sz w:val="32"/>
          <w:szCs w:val="32"/>
          <w:lang w:val="en-US" w:eastAsia="zh-CN"/>
        </w:rPr>
        <w:t>党的建设理论与实践研究专题</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1.习近平总书记关于新时代全面加强党的建设重要论述研究</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2.贯彻落实习近平总书记关于党的建设重要论述的山东实践和典型案例研究</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3.提高党的建设质量研究</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4.建党百年与百年党建研究</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5.党的理论创新、实践创造和历史经验研究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30" w:leftChars="0"/>
        <w:jc w:val="both"/>
        <w:textAlignment w:val="auto"/>
        <w:rPr>
          <w:rFonts w:hint="eastAsia" w:ascii="黑体" w:hAnsi="黑体" w:eastAsia="黑体" w:cs="黑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30" w:leftChars="0"/>
        <w:jc w:val="both"/>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三、马克思主义大众化研究专项</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firstLine="643" w:firstLineChars="200"/>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eastAsia="zh-CN"/>
        </w:rPr>
        <w:t>该专项主要围绕如何让马克思主义真理走入大众之中，让党的最新理论成果“飞入寻常百姓家”展开研究，引导人们用马克思主义立场观点方法分析研究现实问题。研究成果力求对基层理论宣讲工作具有指导意义。</w:t>
      </w:r>
      <w:r>
        <w:rPr>
          <w:rFonts w:hint="eastAsia" w:ascii="楷体_GB2312" w:hAnsi="楷体_GB2312" w:eastAsia="楷体_GB2312" w:cs="楷体_GB2312"/>
          <w:b/>
          <w:bCs/>
          <w:color w:val="auto"/>
          <w:sz w:val="32"/>
          <w:szCs w:val="32"/>
        </w:rPr>
        <w:t>鼓励高校、党校等与各级党委讲师团人员联合申报、协同创新，打造高质量研究成果</w:t>
      </w:r>
      <w:r>
        <w:rPr>
          <w:rFonts w:hint="eastAsia" w:ascii="楷体_GB2312" w:hAnsi="楷体_GB2312" w:eastAsia="楷体_GB2312" w:cs="楷体_GB2312"/>
          <w:b/>
          <w:bCs/>
          <w:color w:val="auto"/>
          <w:sz w:val="32"/>
          <w:szCs w:val="32"/>
          <w:lang w:eastAsia="zh-CN"/>
        </w:rPr>
        <w:t>。</w:t>
      </w:r>
      <w:r>
        <w:rPr>
          <w:rFonts w:hint="eastAsia" w:ascii="楷体_GB2312" w:hAnsi="楷体_GB2312" w:eastAsia="楷体_GB2312" w:cs="楷体_GB2312"/>
          <w:b/>
          <w:bCs/>
          <w:color w:val="auto"/>
          <w:sz w:val="32"/>
          <w:szCs w:val="32"/>
        </w:rPr>
        <w:t>高校、党校人员申报时，不</w:t>
      </w:r>
      <w:r>
        <w:rPr>
          <w:rFonts w:hint="eastAsia" w:ascii="楷体_GB2312" w:hAnsi="楷体_GB2312" w:eastAsia="楷体_GB2312" w:cs="楷体_GB2312"/>
          <w:b/>
          <w:bCs/>
          <w:color w:val="auto"/>
          <w:sz w:val="32"/>
          <w:szCs w:val="32"/>
          <w:lang w:eastAsia="zh-CN"/>
        </w:rPr>
        <w:t>得</w:t>
      </w:r>
      <w:r>
        <w:rPr>
          <w:rFonts w:hint="eastAsia" w:ascii="楷体_GB2312" w:hAnsi="楷体_GB2312" w:eastAsia="楷体_GB2312" w:cs="楷体_GB2312"/>
          <w:b/>
          <w:bCs/>
          <w:color w:val="auto"/>
          <w:sz w:val="32"/>
          <w:szCs w:val="32"/>
        </w:rPr>
        <w:t>以宣讲工作者协会会员和宣</w:t>
      </w:r>
      <w:r>
        <w:rPr>
          <w:rFonts w:hint="eastAsia" w:ascii="楷体_GB2312" w:hAnsi="楷体_GB2312" w:eastAsia="楷体_GB2312" w:cs="楷体_GB2312"/>
          <w:b/>
          <w:bCs/>
          <w:color w:val="auto"/>
          <w:sz w:val="32"/>
          <w:szCs w:val="32"/>
          <w:lang w:eastAsia="zh-CN"/>
        </w:rPr>
        <w:t>讲</w:t>
      </w:r>
      <w:r>
        <w:rPr>
          <w:rFonts w:hint="eastAsia" w:ascii="楷体_GB2312" w:hAnsi="楷体_GB2312" w:eastAsia="楷体_GB2312" w:cs="楷体_GB2312"/>
          <w:b/>
          <w:bCs/>
          <w:color w:val="auto"/>
          <w:sz w:val="32"/>
          <w:szCs w:val="32"/>
        </w:rPr>
        <w:t>基地人员名义进行申报。</w:t>
      </w:r>
      <w:r>
        <w:rPr>
          <w:rFonts w:hint="eastAsia" w:ascii="楷体_GB2312" w:hAnsi="楷体_GB2312" w:eastAsia="楷体_GB2312" w:cs="楷体_GB2312"/>
          <w:b/>
          <w:bCs/>
          <w:color w:val="auto"/>
          <w:sz w:val="32"/>
          <w:szCs w:val="32"/>
          <w:lang w:eastAsia="zh-CN"/>
        </w:rPr>
        <w:t>研究</w:t>
      </w:r>
      <w:r>
        <w:rPr>
          <w:rFonts w:hint="eastAsia" w:ascii="楷体_GB2312" w:hAnsi="楷体_GB2312" w:eastAsia="楷体_GB2312" w:cs="楷体_GB2312"/>
          <w:b/>
          <w:bCs/>
          <w:color w:val="auto"/>
          <w:sz w:val="32"/>
          <w:szCs w:val="32"/>
        </w:rPr>
        <w:t>成果可以研究报告或通俗理论读物等形式报送。</w:t>
      </w:r>
      <w:r>
        <w:rPr>
          <w:rFonts w:hint="eastAsia" w:ascii="楷体_GB2312" w:hAnsi="楷体_GB2312" w:eastAsia="楷体_GB2312" w:cs="楷体_GB2312"/>
          <w:b/>
          <w:bCs/>
          <w:color w:val="auto"/>
          <w:sz w:val="32"/>
          <w:szCs w:val="32"/>
          <w:lang w:eastAsia="zh-CN"/>
        </w:rPr>
        <w:t>成</w:t>
      </w:r>
      <w:r>
        <w:rPr>
          <w:rFonts w:hint="eastAsia" w:ascii="楷体_GB2312" w:hAnsi="楷体_GB2312" w:eastAsia="楷体_GB2312" w:cs="楷体_GB2312"/>
          <w:b/>
          <w:bCs/>
          <w:color w:val="auto"/>
          <w:sz w:val="32"/>
          <w:szCs w:val="32"/>
        </w:rPr>
        <w:t>果形式</w:t>
      </w:r>
      <w:r>
        <w:rPr>
          <w:rFonts w:hint="eastAsia" w:ascii="楷体_GB2312" w:hAnsi="楷体_GB2312" w:eastAsia="楷体_GB2312" w:cs="楷体_GB2312"/>
          <w:b/>
          <w:bCs/>
          <w:color w:val="auto"/>
          <w:sz w:val="32"/>
          <w:szCs w:val="32"/>
          <w:lang w:eastAsia="zh-CN"/>
        </w:rPr>
        <w:t>为</w:t>
      </w:r>
      <w:r>
        <w:rPr>
          <w:rFonts w:hint="eastAsia" w:ascii="楷体_GB2312" w:hAnsi="楷体_GB2312" w:eastAsia="楷体_GB2312" w:cs="楷体_GB2312"/>
          <w:b/>
          <w:bCs/>
          <w:color w:val="auto"/>
          <w:sz w:val="32"/>
          <w:szCs w:val="32"/>
        </w:rPr>
        <w:t>研究报告</w:t>
      </w:r>
      <w:r>
        <w:rPr>
          <w:rFonts w:hint="eastAsia" w:ascii="楷体_GB2312" w:hAnsi="楷体_GB2312" w:eastAsia="楷体_GB2312" w:cs="楷体_GB2312"/>
          <w:b/>
          <w:bCs/>
          <w:color w:val="auto"/>
          <w:sz w:val="32"/>
          <w:szCs w:val="32"/>
          <w:lang w:eastAsia="zh-CN"/>
        </w:rPr>
        <w:t>的</w:t>
      </w:r>
      <w:r>
        <w:rPr>
          <w:rFonts w:hint="eastAsia" w:ascii="楷体_GB2312" w:hAnsi="楷体_GB2312" w:eastAsia="楷体_GB2312" w:cs="楷体_GB2312"/>
          <w:b/>
          <w:bCs/>
          <w:color w:val="auto"/>
          <w:sz w:val="32"/>
          <w:szCs w:val="32"/>
        </w:rPr>
        <w:t>，</w:t>
      </w:r>
      <w:r>
        <w:rPr>
          <w:rFonts w:hint="eastAsia" w:ascii="楷体_GB2312" w:hAnsi="楷体_GB2312" w:eastAsia="楷体_GB2312" w:cs="楷体_GB2312"/>
          <w:b/>
          <w:bCs/>
          <w:color w:val="auto"/>
          <w:sz w:val="32"/>
          <w:szCs w:val="32"/>
          <w:lang w:eastAsia="zh-CN"/>
        </w:rPr>
        <w:t>申请</w:t>
      </w:r>
      <w:r>
        <w:rPr>
          <w:rFonts w:hint="eastAsia" w:ascii="楷体_GB2312" w:hAnsi="楷体_GB2312" w:eastAsia="楷体_GB2312" w:cs="楷体_GB2312"/>
          <w:b/>
          <w:bCs/>
          <w:color w:val="auto"/>
          <w:sz w:val="32"/>
          <w:szCs w:val="32"/>
        </w:rPr>
        <w:t>结项</w:t>
      </w:r>
      <w:r>
        <w:rPr>
          <w:rFonts w:hint="eastAsia" w:ascii="楷体_GB2312" w:hAnsi="楷体_GB2312" w:eastAsia="楷体_GB2312" w:cs="楷体_GB2312"/>
          <w:b/>
          <w:bCs/>
          <w:color w:val="auto"/>
          <w:sz w:val="32"/>
          <w:szCs w:val="32"/>
          <w:lang w:eastAsia="zh-CN"/>
        </w:rPr>
        <w:t>时</w:t>
      </w:r>
      <w:r>
        <w:rPr>
          <w:rFonts w:hint="eastAsia" w:ascii="楷体_GB2312" w:hAnsi="楷体_GB2312" w:eastAsia="楷体_GB2312" w:cs="楷体_GB2312"/>
          <w:b/>
          <w:bCs/>
          <w:color w:val="auto"/>
          <w:sz w:val="32"/>
          <w:szCs w:val="32"/>
        </w:rPr>
        <w:t>需附送立项后在</w:t>
      </w:r>
      <w:r>
        <w:rPr>
          <w:rFonts w:hint="eastAsia" w:ascii="楷体_GB2312" w:hAnsi="楷体_GB2312" w:eastAsia="楷体_GB2312" w:cs="楷体_GB2312"/>
          <w:b/>
          <w:bCs/>
          <w:color w:val="auto"/>
          <w:sz w:val="32"/>
          <w:szCs w:val="32"/>
          <w:lang w:eastAsia="zh-CN"/>
        </w:rPr>
        <w:t>有</w:t>
      </w:r>
      <w:r>
        <w:rPr>
          <w:rFonts w:hint="eastAsia" w:ascii="楷体_GB2312" w:hAnsi="楷体_GB2312" w:eastAsia="楷体_GB2312" w:cs="楷体_GB2312"/>
          <w:b/>
          <w:bCs/>
          <w:color w:val="auto"/>
          <w:sz w:val="32"/>
          <w:szCs w:val="32"/>
        </w:rPr>
        <w:t>国家正式刊号的期刊上发表的与研究相关的阶段性成果1篇。</w:t>
      </w:r>
      <w:r>
        <w:rPr>
          <w:rFonts w:hint="eastAsia" w:ascii="楷体_GB2312" w:hAnsi="楷体_GB2312" w:eastAsia="楷体_GB2312" w:cs="楷体_GB2312"/>
          <w:b/>
          <w:bCs/>
          <w:color w:val="auto"/>
          <w:sz w:val="32"/>
          <w:szCs w:val="32"/>
          <w:lang w:eastAsia="zh-CN"/>
        </w:rPr>
        <w:t>研究时限一般不超过</w:t>
      </w:r>
      <w:r>
        <w:rPr>
          <w:rFonts w:hint="eastAsia" w:ascii="楷体_GB2312" w:hAnsi="楷体_GB2312" w:eastAsia="楷体_GB2312" w:cs="楷体_GB2312"/>
          <w:b/>
          <w:bCs/>
          <w:color w:val="auto"/>
          <w:sz w:val="32"/>
          <w:szCs w:val="32"/>
          <w:lang w:val="en-US" w:eastAsia="zh-CN"/>
        </w:rPr>
        <w:t>1年，特殊情况可申请延期一次，延期最长不超过6个月。</w:t>
      </w:r>
      <w:r>
        <w:rPr>
          <w:rFonts w:hint="eastAsia" w:ascii="楷体_GB2312" w:hAnsi="楷体_GB2312" w:eastAsia="楷体_GB2312" w:cs="楷体_GB2312"/>
          <w:b/>
          <w:bCs/>
          <w:color w:val="auto"/>
          <w:sz w:val="32"/>
          <w:szCs w:val="32"/>
          <w:lang w:eastAsia="zh-CN"/>
        </w:rPr>
        <w:t>计划立项</w:t>
      </w:r>
      <w:r>
        <w:rPr>
          <w:rFonts w:hint="eastAsia" w:ascii="楷体_GB2312" w:hAnsi="楷体_GB2312" w:eastAsia="楷体_GB2312" w:cs="楷体_GB2312"/>
          <w:b/>
          <w:bCs/>
          <w:color w:val="auto"/>
          <w:sz w:val="32"/>
          <w:szCs w:val="32"/>
          <w:lang w:val="en-US" w:eastAsia="zh-CN"/>
        </w:rPr>
        <w:t>15项。</w:t>
      </w:r>
    </w:p>
    <w:p>
      <w:pPr>
        <w:pStyle w:val="2"/>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1.党的创新理论对象化分众化互动化宣讲研究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2.党的创新理论走进基层研究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3.党的创新理论走进青年研究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4.党的创新理论国际传播研究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5.中国共产党党史宣传宣讲研究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6.中国共产党推进马克思主义大众化历史经验研究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7.融媒体格局下立体宣讲研究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8.构建新时代理论宣讲工作大格局研究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9.打造山东特色理论宣讲品牌研究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30" w:leftChars="0"/>
        <w:jc w:val="both"/>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四、沂蒙精神研究专项</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600" w:lineRule="exact"/>
        <w:ind w:left="0" w:leftChars="0" w:right="0" w:rightChars="0" w:firstLine="643" w:firstLineChars="200"/>
        <w:jc w:val="both"/>
        <w:textAlignment w:val="auto"/>
        <w:outlineLvl w:val="9"/>
        <w:rPr>
          <w:rFonts w:hint="default"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lang w:val="en-US" w:eastAsia="zh-CN"/>
        </w:rPr>
        <w:t>为贯彻落实习近平总书记视察山东重要讲话精神，深入阐发“水乳交融、生死与共”的沂蒙精神特质和时代价值，设立该专项。专项分为重点项目和一般项目。项目结项在报送研究报告进行鉴定的同时，重点项目需报送在全国中文核心期刊、中国人文社会科学核心期刊发表的阶段性研究成果1篇；一般项目需报送在有正式刊号的期刊上发表的阶段性成果1篇。重点项目完成时限一般不超过2年，一般项目完成时限一般不超过1年。</w:t>
      </w:r>
      <w:r>
        <w:rPr>
          <w:rFonts w:hint="eastAsia" w:ascii="楷体_GB2312" w:hAnsi="楷体_GB2312" w:eastAsia="楷体_GB2312" w:cs="楷体_GB2312"/>
          <w:b/>
          <w:bCs/>
          <w:color w:val="auto"/>
          <w:sz w:val="32"/>
          <w:szCs w:val="32"/>
          <w:highlight w:val="none"/>
          <w:lang w:val="en-US" w:eastAsia="zh-CN"/>
        </w:rPr>
        <w:t>计划立项15项，其中重点项目3项，一般项目12项。</w:t>
      </w:r>
    </w:p>
    <w:p>
      <w:pPr>
        <w:pStyle w:val="2"/>
        <w:keepNext w:val="0"/>
        <w:keepLines w:val="0"/>
        <w:pageBreakBefore w:val="0"/>
        <w:widowControl w:val="0"/>
        <w:kinsoku/>
        <w:wordWrap/>
        <w:overflowPunct/>
        <w:topLinePunct w:val="0"/>
        <w:autoSpaceDE/>
        <w:autoSpaceDN/>
        <w:bidi w:val="0"/>
        <w:spacing w:line="600" w:lineRule="exact"/>
        <w:textAlignment w:val="auto"/>
        <w:rPr>
          <w:rFonts w:hint="eastAsia"/>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1.习近平总书记关于沂蒙精神重要论述研究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2.沂蒙精神的形成与发展研究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3.沂蒙精神滋养党的初心使命研究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4.沂蒙精神特质与内涵研究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5.沂蒙革命根据地的历史与发展经验研究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6.沂蒙红色歌曲及其当代价值研究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7.沂蒙精神与新时代党群关系研究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8.沂蒙精神与党的优良传统、优良作风研究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9.弘扬沂蒙精神的途径和方法研究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10.弘扬沂蒙精神助推乡村振兴、革命老区发展研究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11.媒体融合与沂蒙精神传播路径创新研究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12.沂蒙精神与社会主义现代化国家建设研究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30" w:leftChars="0"/>
        <w:jc w:val="both"/>
        <w:textAlignment w:val="auto"/>
        <w:rPr>
          <w:rFonts w:hint="eastAsia" w:ascii="黑体" w:hAnsi="黑体" w:eastAsia="黑体" w:cs="黑体"/>
          <w:b/>
          <w:bCs/>
          <w:sz w:val="32"/>
          <w:szCs w:val="32"/>
          <w:highlight w:val="none"/>
          <w:lang w:val="en-US" w:eastAsia="zh-CN"/>
        </w:rPr>
      </w:pPr>
      <w:r>
        <w:rPr>
          <w:rFonts w:hint="eastAsia" w:ascii="黑体" w:hAnsi="黑体" w:eastAsia="黑体" w:cs="黑体"/>
          <w:b/>
          <w:bCs/>
          <w:sz w:val="32"/>
          <w:szCs w:val="32"/>
          <w:highlight w:val="none"/>
          <w:lang w:val="en-US" w:eastAsia="zh-CN"/>
        </w:rPr>
        <w:t>五、山东省重大理论与现实问题协同创新研究专项</w:t>
      </w:r>
    </w:p>
    <w:p>
      <w:pPr>
        <w:spacing w:line="600" w:lineRule="exact"/>
        <w:ind w:firstLine="643" w:firstLineChars="200"/>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lang w:eastAsia="zh-CN"/>
        </w:rPr>
        <w:t>该专项</w:t>
      </w:r>
      <w:r>
        <w:rPr>
          <w:rFonts w:hint="eastAsia" w:ascii="楷体_GB2312" w:hAnsi="楷体_GB2312" w:eastAsia="楷体_GB2312" w:cs="楷体_GB2312"/>
          <w:b/>
          <w:bCs/>
          <w:color w:val="auto"/>
          <w:sz w:val="32"/>
          <w:szCs w:val="32"/>
        </w:rPr>
        <w:t>研究要坚持理论与实际相统一，立足我省省情，突出问题导向，围绕我省经济社会发展亟待解决的重大理论与现实问题，开展前瞻性、战略性、针对性研究。避免一般的学理性研究和纯学术研究</w:t>
      </w:r>
      <w:r>
        <w:rPr>
          <w:rFonts w:hint="eastAsia" w:ascii="楷体_GB2312" w:hAnsi="楷体_GB2312" w:eastAsia="楷体_GB2312" w:cs="楷体_GB2312"/>
          <w:b/>
          <w:bCs/>
          <w:color w:val="auto"/>
          <w:sz w:val="32"/>
          <w:szCs w:val="32"/>
          <w:lang w:eastAsia="zh-CN"/>
        </w:rPr>
        <w:t>。</w:t>
      </w:r>
      <w:r>
        <w:rPr>
          <w:rFonts w:hint="eastAsia" w:ascii="楷体_GB2312" w:hAnsi="楷体_GB2312" w:eastAsia="楷体_GB2312" w:cs="楷体_GB2312"/>
          <w:b/>
          <w:bCs/>
          <w:color w:val="auto"/>
          <w:sz w:val="32"/>
          <w:szCs w:val="32"/>
        </w:rPr>
        <w:t>研究成果能为</w:t>
      </w:r>
      <w:r>
        <w:rPr>
          <w:rFonts w:hint="eastAsia" w:ascii="楷体_GB2312" w:hAnsi="楷体_GB2312" w:eastAsia="楷体_GB2312" w:cs="楷体_GB2312"/>
          <w:b/>
          <w:bCs/>
          <w:color w:val="auto"/>
          <w:sz w:val="32"/>
          <w:szCs w:val="32"/>
          <w:lang w:eastAsia="zh-CN"/>
        </w:rPr>
        <w:t>党委政府</w:t>
      </w:r>
      <w:r>
        <w:rPr>
          <w:rFonts w:hint="eastAsia" w:ascii="楷体_GB2312" w:hAnsi="楷体_GB2312" w:eastAsia="楷体_GB2312" w:cs="楷体_GB2312"/>
          <w:b/>
          <w:bCs/>
          <w:color w:val="auto"/>
          <w:sz w:val="32"/>
          <w:szCs w:val="32"/>
        </w:rPr>
        <w:t>科学决策，为加快现代化强省建设，提供</w:t>
      </w:r>
      <w:r>
        <w:rPr>
          <w:rFonts w:hint="eastAsia" w:ascii="楷体_GB2312" w:hAnsi="楷体_GB2312" w:eastAsia="楷体_GB2312" w:cs="楷体_GB2312"/>
          <w:b/>
          <w:bCs/>
          <w:color w:val="auto"/>
          <w:sz w:val="32"/>
          <w:szCs w:val="32"/>
          <w:lang w:eastAsia="zh-CN"/>
        </w:rPr>
        <w:t>具有</w:t>
      </w:r>
      <w:r>
        <w:rPr>
          <w:rFonts w:hint="eastAsia" w:ascii="楷体_GB2312" w:hAnsi="楷体_GB2312" w:eastAsia="楷体_GB2312" w:cs="楷体_GB2312"/>
          <w:b/>
          <w:bCs/>
          <w:color w:val="auto"/>
          <w:sz w:val="32"/>
          <w:szCs w:val="32"/>
        </w:rPr>
        <w:t>重要参考价值的决策咨询和对策建议。</w:t>
      </w:r>
    </w:p>
    <w:p>
      <w:pPr>
        <w:keepNext w:val="0"/>
        <w:keepLines w:val="0"/>
        <w:pageBreakBefore w:val="0"/>
        <w:kinsoku/>
        <w:wordWrap/>
        <w:overflowPunct/>
        <w:topLinePunct w:val="0"/>
        <w:bidi w:val="0"/>
        <w:adjustRightInd w:val="0"/>
        <w:snapToGrid w:val="0"/>
        <w:spacing w:beforeAutospacing="0" w:afterAutospacing="0" w:line="600" w:lineRule="exact"/>
        <w:ind w:firstLine="643" w:firstLineChars="200"/>
        <w:textAlignment w:val="auto"/>
        <w:rPr>
          <w:rFonts w:hint="default"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rPr>
        <w:t>社科研究机构和高等院校凡具有副高以上职称或者博士学位的研究</w:t>
      </w:r>
      <w:r>
        <w:rPr>
          <w:rFonts w:hint="eastAsia" w:ascii="楷体_GB2312" w:hAnsi="楷体_GB2312" w:eastAsia="楷体_GB2312" w:cs="楷体_GB2312"/>
          <w:b/>
          <w:bCs/>
          <w:color w:val="auto"/>
          <w:sz w:val="32"/>
          <w:szCs w:val="32"/>
          <w:lang w:eastAsia="zh-CN"/>
        </w:rPr>
        <w:t>或教学</w:t>
      </w:r>
      <w:r>
        <w:rPr>
          <w:rFonts w:hint="eastAsia" w:ascii="楷体_GB2312" w:hAnsi="楷体_GB2312" w:eastAsia="楷体_GB2312" w:cs="楷体_GB2312"/>
          <w:b/>
          <w:bCs/>
          <w:color w:val="auto"/>
          <w:sz w:val="32"/>
          <w:szCs w:val="32"/>
        </w:rPr>
        <w:t>人员均可申报。</w:t>
      </w:r>
      <w:r>
        <w:rPr>
          <w:rFonts w:hint="eastAsia" w:ascii="楷体_GB2312" w:hAnsi="楷体_GB2312" w:eastAsia="楷体_GB2312" w:cs="楷体_GB2312"/>
          <w:b/>
          <w:bCs/>
          <w:color w:val="auto"/>
          <w:sz w:val="32"/>
          <w:szCs w:val="32"/>
          <w:lang w:eastAsia="zh-CN"/>
        </w:rPr>
        <w:t>申报者应</w:t>
      </w:r>
      <w:r>
        <w:rPr>
          <w:rFonts w:hint="eastAsia" w:ascii="楷体_GB2312" w:hAnsi="楷体_GB2312" w:eastAsia="楷体_GB2312" w:cs="楷体_GB2312"/>
          <w:b/>
          <w:bCs/>
          <w:color w:val="auto"/>
          <w:sz w:val="32"/>
          <w:szCs w:val="32"/>
        </w:rPr>
        <w:t>紧扣选题研究方向，结合我省经济社会发展实际，选择不同的研究角度和侧重点，自行设计具体题目</w:t>
      </w:r>
      <w:r>
        <w:rPr>
          <w:rFonts w:hint="eastAsia" w:ascii="楷体_GB2312" w:hAnsi="楷体_GB2312" w:eastAsia="楷体_GB2312" w:cs="楷体_GB2312"/>
          <w:b/>
          <w:bCs/>
          <w:color w:val="auto"/>
          <w:sz w:val="32"/>
          <w:szCs w:val="32"/>
          <w:lang w:eastAsia="zh-CN"/>
        </w:rPr>
        <w:t>（</w:t>
      </w:r>
      <w:r>
        <w:rPr>
          <w:rFonts w:hint="eastAsia" w:ascii="楷体_GB2312" w:hAnsi="楷体_GB2312" w:eastAsia="楷体_GB2312" w:cs="楷体_GB2312"/>
          <w:b/>
          <w:bCs/>
          <w:color w:val="auto"/>
          <w:sz w:val="32"/>
          <w:szCs w:val="32"/>
        </w:rPr>
        <w:t>“涉台港澳项目”</w:t>
      </w:r>
      <w:r>
        <w:rPr>
          <w:rFonts w:hint="eastAsia" w:ascii="楷体_GB2312" w:hAnsi="楷体_GB2312" w:eastAsia="楷体_GB2312" w:cs="楷体_GB2312"/>
          <w:b/>
          <w:bCs/>
          <w:color w:val="auto"/>
          <w:sz w:val="32"/>
          <w:szCs w:val="32"/>
          <w:lang w:val="en-US" w:eastAsia="zh-CN"/>
        </w:rPr>
        <w:t>按照</w:t>
      </w:r>
      <w:r>
        <w:rPr>
          <w:rFonts w:hint="eastAsia" w:ascii="楷体_GB2312" w:hAnsi="楷体_GB2312" w:eastAsia="楷体_GB2312" w:cs="楷体_GB2312"/>
          <w:b/>
          <w:bCs/>
          <w:color w:val="auto"/>
          <w:sz w:val="32"/>
          <w:szCs w:val="32"/>
        </w:rPr>
        <w:t>原题申报</w:t>
      </w:r>
      <w:r>
        <w:rPr>
          <w:rFonts w:hint="eastAsia" w:ascii="楷体_GB2312" w:hAnsi="楷体_GB2312" w:eastAsia="楷体_GB2312" w:cs="楷体_GB2312"/>
          <w:b/>
          <w:bCs/>
          <w:color w:val="auto"/>
          <w:sz w:val="32"/>
          <w:szCs w:val="32"/>
          <w:lang w:eastAsia="zh-CN"/>
        </w:rPr>
        <w:t>）</w:t>
      </w:r>
      <w:r>
        <w:rPr>
          <w:rFonts w:hint="eastAsia" w:ascii="楷体_GB2312" w:hAnsi="楷体_GB2312" w:eastAsia="楷体_GB2312" w:cs="楷体_GB2312"/>
          <w:b/>
          <w:bCs/>
          <w:color w:val="auto"/>
          <w:sz w:val="32"/>
          <w:szCs w:val="32"/>
        </w:rPr>
        <w:t>。鼓励大胆探索、协同攻关和跨学科研究。</w:t>
      </w:r>
      <w:r>
        <w:rPr>
          <w:rFonts w:hint="eastAsia" w:ascii="楷体_GB2312" w:hAnsi="楷体_GB2312" w:eastAsia="楷体_GB2312" w:cs="楷体_GB2312"/>
          <w:b/>
          <w:bCs/>
          <w:color w:val="auto"/>
          <w:sz w:val="32"/>
          <w:szCs w:val="32"/>
          <w:lang w:eastAsia="zh-CN"/>
        </w:rPr>
        <w:t>成果形式为研究报告。作为阶段性成果的</w:t>
      </w:r>
      <w:r>
        <w:rPr>
          <w:rFonts w:hint="eastAsia" w:ascii="楷体_GB2312" w:hAnsi="楷体_GB2312" w:eastAsia="楷体_GB2312" w:cs="楷体_GB2312"/>
          <w:b/>
          <w:bCs/>
          <w:color w:val="auto"/>
          <w:sz w:val="32"/>
          <w:szCs w:val="32"/>
        </w:rPr>
        <w:t>对策建议未获批示的，重点项目需报送在全国中文核心期刊、中国人文社会科学核心期刊发表的阶段性研究成果2篇（其中1篇需是CSSCI来源期刊）；一般项目</w:t>
      </w:r>
      <w:r>
        <w:rPr>
          <w:rFonts w:hint="eastAsia" w:ascii="楷体_GB2312" w:hAnsi="楷体_GB2312" w:eastAsia="楷体_GB2312" w:cs="楷体_GB2312"/>
          <w:b/>
          <w:bCs/>
          <w:color w:val="auto"/>
          <w:sz w:val="32"/>
          <w:szCs w:val="32"/>
          <w:lang w:eastAsia="zh-CN"/>
        </w:rPr>
        <w:t>、</w:t>
      </w:r>
      <w:r>
        <w:rPr>
          <w:rFonts w:hint="eastAsia" w:ascii="楷体_GB2312" w:hAnsi="楷体_GB2312" w:eastAsia="楷体_GB2312" w:cs="楷体_GB2312"/>
          <w:b/>
          <w:bCs/>
          <w:color w:val="auto"/>
          <w:sz w:val="32"/>
          <w:szCs w:val="32"/>
        </w:rPr>
        <w:t>涉台港澳研究项目需报送在全国中文核心期刊</w:t>
      </w:r>
      <w:r>
        <w:rPr>
          <w:rFonts w:hint="eastAsia" w:ascii="楷体_GB2312" w:hAnsi="楷体_GB2312" w:eastAsia="楷体_GB2312" w:cs="楷体_GB2312"/>
          <w:b/>
          <w:bCs/>
          <w:color w:val="auto"/>
          <w:sz w:val="32"/>
          <w:szCs w:val="32"/>
          <w:lang w:eastAsia="zh-CN"/>
        </w:rPr>
        <w:t>或</w:t>
      </w:r>
      <w:r>
        <w:rPr>
          <w:rFonts w:hint="eastAsia" w:ascii="楷体_GB2312" w:hAnsi="楷体_GB2312" w:eastAsia="楷体_GB2312" w:cs="楷体_GB2312"/>
          <w:b/>
          <w:bCs/>
          <w:color w:val="auto"/>
          <w:sz w:val="32"/>
          <w:szCs w:val="32"/>
        </w:rPr>
        <w:t>中国人文社会科学核心期刊发表的阶段性研究成果1篇，方可申请结项。项目完成时限为202</w:t>
      </w:r>
      <w:r>
        <w:rPr>
          <w:rFonts w:hint="eastAsia" w:ascii="楷体_GB2312" w:hAnsi="楷体_GB2312" w:eastAsia="楷体_GB2312" w:cs="楷体_GB2312"/>
          <w:b/>
          <w:bCs/>
          <w:color w:val="auto"/>
          <w:sz w:val="32"/>
          <w:szCs w:val="32"/>
          <w:lang w:val="en-US" w:eastAsia="zh-CN"/>
        </w:rPr>
        <w:t>2</w:t>
      </w:r>
      <w:r>
        <w:rPr>
          <w:rFonts w:hint="eastAsia" w:ascii="楷体_GB2312" w:hAnsi="楷体_GB2312" w:eastAsia="楷体_GB2312" w:cs="楷体_GB2312"/>
          <w:b/>
          <w:bCs/>
          <w:color w:val="auto"/>
          <w:sz w:val="32"/>
          <w:szCs w:val="32"/>
        </w:rPr>
        <w:t>年12月底。202</w:t>
      </w:r>
      <w:r>
        <w:rPr>
          <w:rFonts w:hint="eastAsia" w:ascii="楷体_GB2312" w:hAnsi="楷体_GB2312" w:eastAsia="楷体_GB2312" w:cs="楷体_GB2312"/>
          <w:b/>
          <w:bCs/>
          <w:color w:val="auto"/>
          <w:sz w:val="32"/>
          <w:szCs w:val="32"/>
          <w:lang w:val="en-US" w:eastAsia="zh-CN"/>
        </w:rPr>
        <w:t>3</w:t>
      </w:r>
      <w:r>
        <w:rPr>
          <w:rFonts w:hint="eastAsia" w:ascii="楷体_GB2312" w:hAnsi="楷体_GB2312" w:eastAsia="楷体_GB2312" w:cs="楷体_GB2312"/>
          <w:b/>
          <w:bCs/>
          <w:color w:val="auto"/>
          <w:sz w:val="32"/>
          <w:szCs w:val="32"/>
        </w:rPr>
        <w:t>年</w:t>
      </w:r>
      <w:r>
        <w:rPr>
          <w:rFonts w:hint="eastAsia" w:ascii="楷体_GB2312" w:hAnsi="楷体_GB2312" w:eastAsia="楷体_GB2312" w:cs="楷体_GB2312"/>
          <w:b/>
          <w:bCs/>
          <w:color w:val="auto"/>
          <w:sz w:val="32"/>
          <w:szCs w:val="32"/>
          <w:lang w:val="en-US" w:eastAsia="zh-CN"/>
        </w:rPr>
        <w:t>12</w:t>
      </w:r>
      <w:r>
        <w:rPr>
          <w:rFonts w:hint="eastAsia" w:ascii="楷体_GB2312" w:hAnsi="楷体_GB2312" w:eastAsia="楷体_GB2312" w:cs="楷体_GB2312"/>
          <w:b/>
          <w:bCs/>
          <w:color w:val="auto"/>
          <w:sz w:val="32"/>
          <w:szCs w:val="32"/>
        </w:rPr>
        <w:t>月</w:t>
      </w:r>
      <w:r>
        <w:rPr>
          <w:rFonts w:hint="eastAsia" w:ascii="楷体_GB2312" w:hAnsi="楷体_GB2312" w:eastAsia="楷体_GB2312" w:cs="楷体_GB2312"/>
          <w:b/>
          <w:bCs/>
          <w:color w:val="auto"/>
          <w:sz w:val="32"/>
          <w:szCs w:val="32"/>
          <w:lang w:val="en-US" w:eastAsia="zh-CN"/>
        </w:rPr>
        <w:t>31</w:t>
      </w:r>
      <w:r>
        <w:rPr>
          <w:rFonts w:hint="eastAsia" w:ascii="楷体_GB2312" w:hAnsi="楷体_GB2312" w:eastAsia="楷体_GB2312" w:cs="楷体_GB2312"/>
          <w:b/>
          <w:bCs/>
          <w:color w:val="auto"/>
          <w:sz w:val="32"/>
          <w:szCs w:val="32"/>
        </w:rPr>
        <w:t>日仍然未完成结项的项目予以撤项。</w:t>
      </w:r>
      <w:r>
        <w:rPr>
          <w:rFonts w:hint="eastAsia" w:ascii="楷体_GB2312" w:hAnsi="楷体_GB2312" w:eastAsia="楷体_GB2312" w:cs="楷体_GB2312"/>
          <w:b/>
          <w:bCs/>
          <w:color w:val="auto"/>
          <w:sz w:val="32"/>
          <w:szCs w:val="32"/>
          <w:lang w:eastAsia="zh-CN"/>
        </w:rPr>
        <w:t>计划立项</w:t>
      </w:r>
      <w:r>
        <w:rPr>
          <w:rFonts w:hint="eastAsia" w:ascii="楷体_GB2312" w:hAnsi="楷体_GB2312" w:eastAsia="楷体_GB2312" w:cs="楷体_GB2312"/>
          <w:b/>
          <w:bCs/>
          <w:color w:val="auto"/>
          <w:sz w:val="32"/>
          <w:szCs w:val="32"/>
          <w:lang w:val="en-US" w:eastAsia="zh-CN"/>
        </w:rPr>
        <w:t>25项，其中，</w:t>
      </w:r>
      <w:r>
        <w:rPr>
          <w:rFonts w:hint="eastAsia" w:ascii="楷体_GB2312" w:hAnsi="楷体_GB2312" w:eastAsia="楷体_GB2312" w:cs="楷体_GB2312"/>
          <w:b/>
          <w:bCs/>
          <w:color w:val="auto"/>
          <w:sz w:val="32"/>
          <w:szCs w:val="32"/>
          <w:lang w:eastAsia="zh-CN"/>
        </w:rPr>
        <w:t>重点项目</w:t>
      </w:r>
      <w:r>
        <w:rPr>
          <w:rFonts w:hint="eastAsia" w:ascii="楷体_GB2312" w:hAnsi="楷体_GB2312" w:eastAsia="楷体_GB2312" w:cs="楷体_GB2312"/>
          <w:b/>
          <w:bCs/>
          <w:color w:val="auto"/>
          <w:sz w:val="32"/>
          <w:szCs w:val="32"/>
          <w:lang w:val="en-US" w:eastAsia="zh-CN"/>
        </w:rPr>
        <w:t>5</w:t>
      </w:r>
      <w:r>
        <w:rPr>
          <w:rFonts w:hint="eastAsia" w:ascii="楷体_GB2312" w:hAnsi="楷体_GB2312" w:eastAsia="楷体_GB2312" w:cs="楷体_GB2312"/>
          <w:b/>
          <w:bCs/>
          <w:color w:val="auto"/>
          <w:sz w:val="32"/>
          <w:szCs w:val="32"/>
          <w:lang w:eastAsia="zh-CN"/>
        </w:rPr>
        <w:t>项，一般项目</w:t>
      </w:r>
      <w:r>
        <w:rPr>
          <w:rFonts w:hint="eastAsia" w:ascii="楷体_GB2312" w:hAnsi="楷体_GB2312" w:eastAsia="楷体_GB2312" w:cs="楷体_GB2312"/>
          <w:b/>
          <w:bCs/>
          <w:color w:val="auto"/>
          <w:sz w:val="32"/>
          <w:szCs w:val="32"/>
          <w:lang w:val="en-US" w:eastAsia="zh-CN"/>
        </w:rPr>
        <w:t>15</w:t>
      </w:r>
      <w:r>
        <w:rPr>
          <w:rFonts w:hint="eastAsia" w:ascii="楷体_GB2312" w:hAnsi="楷体_GB2312" w:eastAsia="楷体_GB2312" w:cs="楷体_GB2312"/>
          <w:b/>
          <w:bCs/>
          <w:color w:val="auto"/>
          <w:sz w:val="32"/>
          <w:szCs w:val="32"/>
          <w:lang w:eastAsia="zh-CN"/>
        </w:rPr>
        <w:t>项，</w:t>
      </w:r>
      <w:r>
        <w:rPr>
          <w:rFonts w:hint="eastAsia" w:ascii="楷体_GB2312" w:hAnsi="楷体_GB2312" w:eastAsia="楷体_GB2312" w:cs="楷体_GB2312"/>
          <w:b/>
          <w:bCs/>
          <w:color w:val="auto"/>
          <w:sz w:val="32"/>
          <w:szCs w:val="32"/>
        </w:rPr>
        <w:t>涉台港澳研究项目</w:t>
      </w:r>
      <w:r>
        <w:rPr>
          <w:rFonts w:hint="eastAsia" w:ascii="楷体_GB2312" w:hAnsi="楷体_GB2312" w:eastAsia="楷体_GB2312" w:cs="楷体_GB2312"/>
          <w:b/>
          <w:bCs/>
          <w:color w:val="auto"/>
          <w:sz w:val="32"/>
          <w:szCs w:val="32"/>
          <w:lang w:val="en-US" w:eastAsia="zh-CN"/>
        </w:rPr>
        <w:t>5项。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楷体_GB2312" w:hAnsi="楷体_GB2312" w:eastAsia="楷体_GB2312" w:cs="楷体_GB2312"/>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重点项目选题：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1.现代农业强省建设研究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2.先进制造业强省建设研究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3.海洋强省建设研究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4.文化强省建设研究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5.健康强省建设研究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一般项目选题：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1.山东融入构建双循环发展格局研究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2.山东新旧动能转换五年突破路径研究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3.山东提升“十强”现代优势产业集群核心竞争力研究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4.山东国有企业改革研究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5.新时代山东区域一体化创新发展研究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6.充分发挥山东半岛城市群在黄河流域生态保护和高质量发展中的龙头作用研究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7.黄河现代产业合作示范带建设研究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8.山东加强社会治理研究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9.以人为核心的新型城镇化建设研究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10.山东脱贫攻坚经验研究</w:t>
      </w:r>
    </w:p>
    <w:p>
      <w:pPr>
        <w:pStyle w:val="2"/>
        <w:keepNext w:val="0"/>
        <w:keepLines w:val="0"/>
        <w:pageBreakBefore w:val="0"/>
        <w:widowControl w:val="0"/>
        <w:kinsoku/>
        <w:wordWrap/>
        <w:overflowPunct/>
        <w:topLinePunct w:val="0"/>
        <w:autoSpaceDE/>
        <w:autoSpaceDN/>
        <w:bidi w:val="0"/>
        <w:adjustRightInd/>
        <w:spacing w:line="600" w:lineRule="exact"/>
        <w:textAlignment w:val="auto"/>
        <w:rPr>
          <w:rFonts w:hint="eastAsia"/>
          <w:sz w:val="32"/>
          <w:szCs w:val="32"/>
          <w:lang w:val="en-US" w:eastAsia="zh-CN"/>
        </w:rPr>
      </w:pPr>
      <w:r>
        <w:rPr>
          <w:rFonts w:hint="eastAsia"/>
          <w:sz w:val="32"/>
          <w:szCs w:val="32"/>
          <w:lang w:val="en-US" w:eastAsia="zh-CN"/>
        </w:rPr>
        <w:t xml:space="preserve">    </w:t>
      </w:r>
    </w:p>
    <w:p>
      <w:pPr>
        <w:pStyle w:val="2"/>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default"/>
          <w:color w:val="auto"/>
          <w:sz w:val="32"/>
          <w:szCs w:val="32"/>
          <w:lang w:val="en-US" w:eastAsia="zh-CN"/>
        </w:rPr>
      </w:pPr>
      <w:r>
        <w:rPr>
          <w:rFonts w:hint="eastAsia" w:ascii="楷体_GB2312" w:hAnsi="楷体_GB2312" w:eastAsia="楷体_GB2312" w:cs="楷体_GB2312"/>
          <w:b/>
          <w:bCs/>
          <w:color w:val="auto"/>
          <w:sz w:val="32"/>
          <w:szCs w:val="32"/>
          <w:lang w:val="en-US" w:eastAsia="zh-CN"/>
        </w:rPr>
        <w:t>涉台港澳研究项目选题：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1.台湾产业转移与山东产业对接研究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2.台湾现代农业发展对打造乡村振兴齐鲁样板的启示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3.台资经济助力山东打造对外开放新高地的思考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4.持续深化鲁台人文交流合作研究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5.新形势下鲁台港澳青少年群体深度交流融合研究</w:t>
      </w:r>
    </w:p>
    <w:p>
      <w:pPr>
        <w:pStyle w:val="2"/>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b/>
          <w:bCs/>
          <w:kern w:val="2"/>
          <w:sz w:val="32"/>
          <w:szCs w:val="3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六、高校思想政治教育研究专项</w:t>
      </w:r>
    </w:p>
    <w:p>
      <w:pPr>
        <w:keepNext w:val="0"/>
        <w:keepLines w:val="0"/>
        <w:pageBreakBefore w:val="0"/>
        <w:kinsoku/>
        <w:wordWrap/>
        <w:overflowPunct/>
        <w:topLinePunct w:val="0"/>
        <w:autoSpaceDE w:val="0"/>
        <w:autoSpaceDN w:val="0"/>
        <w:bidi w:val="0"/>
        <w:adjustRightInd w:val="0"/>
        <w:snapToGrid w:val="0"/>
        <w:spacing w:beforeAutospacing="0" w:afterAutospacing="0" w:line="600" w:lineRule="exact"/>
        <w:ind w:right="0" w:firstLine="643" w:firstLineChars="200"/>
        <w:textAlignment w:val="auto"/>
        <w:rPr>
          <w:rFonts w:hint="default" w:ascii="仿宋_GB2312" w:hAnsi="仿宋_GB2312" w:eastAsia="仿宋_GB2312" w:cs="仿宋_GB2312"/>
          <w:b/>
          <w:bCs/>
          <w:color w:val="auto"/>
          <w:sz w:val="32"/>
          <w:szCs w:val="32"/>
          <w:lang w:val="en-US" w:eastAsia="zh-CN"/>
        </w:rPr>
      </w:pPr>
      <w:r>
        <w:rPr>
          <w:rFonts w:hint="eastAsia" w:ascii="楷体_GB2312" w:hAnsi="楷体_GB2312" w:eastAsia="楷体_GB2312" w:cs="楷体_GB2312"/>
          <w:b/>
          <w:bCs/>
          <w:color w:val="auto"/>
          <w:sz w:val="32"/>
          <w:szCs w:val="32"/>
          <w:shd w:val="clear" w:color="auto" w:fill="FFFFFF"/>
        </w:rPr>
        <w:t>该专项主要面向全省高校从事思想政治工作</w:t>
      </w:r>
      <w:r>
        <w:rPr>
          <w:rFonts w:hint="eastAsia" w:ascii="楷体_GB2312" w:hAnsi="楷体_GB2312" w:eastAsia="楷体_GB2312" w:cs="楷体_GB2312"/>
          <w:b/>
          <w:bCs/>
          <w:color w:val="auto"/>
          <w:sz w:val="32"/>
          <w:szCs w:val="32"/>
        </w:rPr>
        <w:t>的一线教师及相关研究人员</w:t>
      </w:r>
      <w:r>
        <w:rPr>
          <w:rFonts w:hint="eastAsia" w:ascii="楷体_GB2312" w:hAnsi="楷体_GB2312" w:eastAsia="楷体_GB2312" w:cs="楷体_GB2312"/>
          <w:b/>
          <w:bCs/>
          <w:color w:val="auto"/>
          <w:sz w:val="32"/>
          <w:szCs w:val="32"/>
          <w:lang w:eastAsia="zh-CN"/>
        </w:rPr>
        <w:t>。</w:t>
      </w:r>
      <w:r>
        <w:rPr>
          <w:rFonts w:hint="eastAsia" w:ascii="楷体_GB2312" w:hAnsi="楷体_GB2312" w:eastAsia="楷体_GB2312" w:cs="楷体_GB2312"/>
          <w:b/>
          <w:bCs/>
          <w:color w:val="auto"/>
          <w:sz w:val="32"/>
          <w:szCs w:val="32"/>
        </w:rPr>
        <w:t>申报者根据有关选题要求，结合高校思想政治工作实际，自行设计</w:t>
      </w:r>
      <w:r>
        <w:rPr>
          <w:rFonts w:hint="eastAsia" w:ascii="楷体_GB2312" w:hAnsi="楷体_GB2312" w:eastAsia="楷体_GB2312" w:cs="楷体_GB2312"/>
          <w:b/>
          <w:bCs/>
          <w:color w:val="auto"/>
          <w:sz w:val="32"/>
          <w:szCs w:val="32"/>
          <w:lang w:eastAsia="zh-CN"/>
        </w:rPr>
        <w:t>具体题目。选题</w:t>
      </w:r>
      <w:r>
        <w:rPr>
          <w:rFonts w:hint="eastAsia" w:ascii="楷体_GB2312" w:hAnsi="楷体_GB2312" w:eastAsia="楷体_GB2312" w:cs="楷体_GB2312"/>
          <w:b/>
          <w:bCs/>
          <w:color w:val="auto"/>
          <w:sz w:val="32"/>
          <w:szCs w:val="32"/>
        </w:rPr>
        <w:t>力求具有较强的理论性和现实针对性。</w:t>
      </w:r>
      <w:r>
        <w:rPr>
          <w:rFonts w:hint="eastAsia" w:ascii="楷体_GB2312" w:hAnsi="楷体_GB2312" w:eastAsia="楷体_GB2312" w:cs="楷体_GB2312"/>
          <w:b/>
          <w:bCs/>
          <w:color w:val="auto"/>
          <w:sz w:val="32"/>
          <w:szCs w:val="32"/>
          <w:lang w:eastAsia="zh-CN"/>
        </w:rPr>
        <w:t>成</w:t>
      </w:r>
      <w:r>
        <w:rPr>
          <w:rFonts w:hint="eastAsia" w:ascii="楷体_GB2312" w:hAnsi="楷体_GB2312" w:eastAsia="楷体_GB2312" w:cs="楷体_GB2312"/>
          <w:b/>
          <w:bCs/>
          <w:color w:val="auto"/>
          <w:sz w:val="32"/>
          <w:szCs w:val="32"/>
        </w:rPr>
        <w:t>果形式</w:t>
      </w:r>
      <w:r>
        <w:rPr>
          <w:rFonts w:hint="eastAsia" w:ascii="楷体_GB2312" w:hAnsi="楷体_GB2312" w:eastAsia="楷体_GB2312" w:cs="楷体_GB2312"/>
          <w:b/>
          <w:bCs/>
          <w:color w:val="auto"/>
          <w:sz w:val="32"/>
          <w:szCs w:val="32"/>
          <w:lang w:eastAsia="zh-CN"/>
        </w:rPr>
        <w:t>为</w:t>
      </w:r>
      <w:r>
        <w:rPr>
          <w:rFonts w:hint="eastAsia" w:ascii="楷体_GB2312" w:hAnsi="楷体_GB2312" w:eastAsia="楷体_GB2312" w:cs="楷体_GB2312"/>
          <w:b/>
          <w:bCs/>
          <w:color w:val="auto"/>
          <w:sz w:val="32"/>
          <w:szCs w:val="32"/>
        </w:rPr>
        <w:t>研究报告</w:t>
      </w:r>
      <w:r>
        <w:rPr>
          <w:rFonts w:hint="eastAsia" w:ascii="楷体_GB2312" w:hAnsi="楷体_GB2312" w:eastAsia="楷体_GB2312" w:cs="楷体_GB2312"/>
          <w:b/>
          <w:bCs/>
          <w:color w:val="auto"/>
          <w:sz w:val="32"/>
          <w:szCs w:val="32"/>
          <w:lang w:eastAsia="zh-CN"/>
        </w:rPr>
        <w:t>的</w:t>
      </w:r>
      <w:r>
        <w:rPr>
          <w:rFonts w:hint="eastAsia" w:ascii="楷体_GB2312" w:hAnsi="楷体_GB2312" w:eastAsia="楷体_GB2312" w:cs="楷体_GB2312"/>
          <w:b/>
          <w:bCs/>
          <w:color w:val="auto"/>
          <w:sz w:val="32"/>
          <w:szCs w:val="32"/>
        </w:rPr>
        <w:t>，</w:t>
      </w:r>
      <w:r>
        <w:rPr>
          <w:rFonts w:hint="eastAsia" w:ascii="楷体_GB2312" w:hAnsi="楷体_GB2312" w:eastAsia="楷体_GB2312" w:cs="楷体_GB2312"/>
          <w:b/>
          <w:bCs/>
          <w:color w:val="auto"/>
          <w:sz w:val="32"/>
          <w:szCs w:val="32"/>
          <w:lang w:eastAsia="zh-CN"/>
        </w:rPr>
        <w:t>申请</w:t>
      </w:r>
      <w:r>
        <w:rPr>
          <w:rFonts w:hint="eastAsia" w:ascii="楷体_GB2312" w:hAnsi="楷体_GB2312" w:eastAsia="楷体_GB2312" w:cs="楷体_GB2312"/>
          <w:b/>
          <w:bCs/>
          <w:color w:val="auto"/>
          <w:sz w:val="32"/>
          <w:szCs w:val="32"/>
        </w:rPr>
        <w:t>结项</w:t>
      </w:r>
      <w:r>
        <w:rPr>
          <w:rFonts w:hint="eastAsia" w:ascii="楷体_GB2312" w:hAnsi="楷体_GB2312" w:eastAsia="楷体_GB2312" w:cs="楷体_GB2312"/>
          <w:b/>
          <w:bCs/>
          <w:color w:val="auto"/>
          <w:sz w:val="32"/>
          <w:szCs w:val="32"/>
          <w:lang w:eastAsia="zh-CN"/>
        </w:rPr>
        <w:t>时</w:t>
      </w:r>
      <w:r>
        <w:rPr>
          <w:rFonts w:hint="eastAsia" w:ascii="楷体_GB2312" w:hAnsi="楷体_GB2312" w:eastAsia="楷体_GB2312" w:cs="楷体_GB2312"/>
          <w:b/>
          <w:bCs/>
          <w:color w:val="auto"/>
          <w:sz w:val="32"/>
          <w:szCs w:val="32"/>
        </w:rPr>
        <w:t>需附送立项后在</w:t>
      </w:r>
      <w:r>
        <w:rPr>
          <w:rFonts w:hint="eastAsia" w:ascii="楷体_GB2312" w:hAnsi="楷体_GB2312" w:eastAsia="楷体_GB2312" w:cs="楷体_GB2312"/>
          <w:b/>
          <w:bCs/>
          <w:color w:val="auto"/>
          <w:sz w:val="32"/>
          <w:szCs w:val="32"/>
          <w:lang w:eastAsia="zh-CN"/>
        </w:rPr>
        <w:t>有</w:t>
      </w:r>
      <w:r>
        <w:rPr>
          <w:rFonts w:hint="eastAsia" w:ascii="楷体_GB2312" w:hAnsi="楷体_GB2312" w:eastAsia="楷体_GB2312" w:cs="楷体_GB2312"/>
          <w:b/>
          <w:bCs/>
          <w:color w:val="auto"/>
          <w:sz w:val="32"/>
          <w:szCs w:val="32"/>
        </w:rPr>
        <w:t>国家正式刊号的期刊上发表的与研究相关的阶段性成果1篇。</w:t>
      </w:r>
      <w:r>
        <w:rPr>
          <w:rFonts w:hint="eastAsia" w:ascii="楷体_GB2312" w:hAnsi="楷体_GB2312" w:eastAsia="楷体_GB2312" w:cs="楷体_GB2312"/>
          <w:b/>
          <w:bCs/>
          <w:color w:val="auto"/>
          <w:sz w:val="32"/>
          <w:szCs w:val="32"/>
          <w:lang w:eastAsia="zh-CN"/>
        </w:rPr>
        <w:t>完成时限为</w:t>
      </w:r>
      <w:r>
        <w:rPr>
          <w:rFonts w:hint="eastAsia" w:ascii="楷体_GB2312" w:hAnsi="楷体_GB2312" w:eastAsia="楷体_GB2312" w:cs="楷体_GB2312"/>
          <w:b/>
          <w:bCs/>
          <w:color w:val="auto"/>
          <w:sz w:val="32"/>
          <w:szCs w:val="32"/>
          <w:lang w:val="en-US" w:eastAsia="zh-CN"/>
        </w:rPr>
        <w:t>1-2年。</w:t>
      </w:r>
      <w:r>
        <w:rPr>
          <w:rFonts w:hint="eastAsia" w:ascii="楷体_GB2312" w:hAnsi="楷体_GB2312" w:eastAsia="楷体_GB2312" w:cs="楷体_GB2312"/>
          <w:b/>
          <w:bCs/>
          <w:color w:val="auto"/>
          <w:sz w:val="32"/>
          <w:szCs w:val="32"/>
          <w:highlight w:val="none"/>
          <w:lang w:val="en-US" w:eastAsia="zh-CN"/>
        </w:rPr>
        <w:t>计划立项70项。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1.建党百年思政课建设的历史经验与发展规律研究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2.新发展阶段思政课教育教学规律、学生认知规律和接受特点研究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3.新时代高校思政课教学质量评价体系研究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4.新技术新趋势背景下高校网络意识形态安全体系建构研究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5.社会主义核心价值观引领知识教育长效机制研究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6.高校深入开展“四史”学习教育研究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7.新时代高校大学生群体分类及主要特点研究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8.新时代大学生爱国主义教育机制创新研究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9.高校辅导员提升政治引领力路径研究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10.大学生网络素养内容、载体及培育机制研究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11.高校学生心理健康教育体系建设创新研究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12.高校大学生美育意识培育研究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13.大学生国家安全意识培养研究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14.少年儿童政治启蒙和价值观塑造研究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15.新时代增强少先队员光荣感研究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16.新时代少先队辅导员队伍建设研究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17.少先队社会化工作体系建设研究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18.充分用好红色资源开展少先队工作研究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19.新时代青少年国防教育研究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黑体" w:hAnsi="黑体" w:eastAsia="黑体" w:cs="黑体"/>
          <w:b/>
          <w:bCs/>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黑体" w:hAnsi="黑体" w:eastAsia="黑体" w:cs="黑体"/>
          <w:b/>
          <w:bCs/>
          <w:color w:val="auto"/>
          <w:sz w:val="32"/>
          <w:szCs w:val="32"/>
          <w:lang w:val="en-US" w:eastAsia="zh-CN"/>
        </w:rPr>
      </w:pPr>
      <w:r>
        <w:rPr>
          <w:rFonts w:hint="eastAsia" w:ascii="黑体" w:hAnsi="黑体" w:eastAsia="黑体" w:cs="黑体"/>
          <w:b/>
          <w:bCs/>
          <w:color w:val="auto"/>
          <w:sz w:val="32"/>
          <w:szCs w:val="32"/>
          <w:lang w:val="en-US" w:eastAsia="zh-CN"/>
        </w:rPr>
        <w:t>七、打造山东对外开放新高地研究专项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color w:val="auto"/>
          <w:sz w:val="32"/>
          <w:szCs w:val="32"/>
          <w:lang w:val="en-US" w:eastAsia="zh-CN"/>
        </w:rPr>
        <w:t>该专项研究着眼准确把握新发展阶段、深入贯彻新发展理念、加快构建新发展格局的新要求，推动全省外事工作理论和实践创新，更好地服务省委省政府决策、服务全省重大战略，为打造对外开放新高地提供理论支撑。山</w:t>
      </w:r>
      <w:r>
        <w:rPr>
          <w:rFonts w:hint="eastAsia" w:ascii="楷体_GB2312" w:hAnsi="楷体_GB2312" w:eastAsia="楷体_GB2312" w:cs="楷体_GB2312"/>
          <w:b/>
          <w:bCs/>
          <w:sz w:val="32"/>
          <w:szCs w:val="32"/>
          <w:lang w:val="en-US" w:eastAsia="zh-CN"/>
        </w:rPr>
        <w:t>东省外事研究与发展智库单位的研究人员均可申报（外事智库名单将在申报数量分配表中注明）。成果形式为研究报告的，</w:t>
      </w:r>
      <w:r>
        <w:rPr>
          <w:rFonts w:hint="eastAsia" w:ascii="楷体_GB2312" w:hAnsi="楷体_GB2312" w:eastAsia="楷体_GB2312" w:cs="楷体_GB2312"/>
          <w:b/>
          <w:bCs/>
          <w:color w:val="auto"/>
          <w:sz w:val="32"/>
          <w:szCs w:val="32"/>
          <w:lang w:eastAsia="zh-CN"/>
        </w:rPr>
        <w:t>申请</w:t>
      </w:r>
      <w:r>
        <w:rPr>
          <w:rFonts w:hint="eastAsia" w:ascii="楷体_GB2312" w:hAnsi="楷体_GB2312" w:eastAsia="楷体_GB2312" w:cs="楷体_GB2312"/>
          <w:b/>
          <w:bCs/>
          <w:color w:val="auto"/>
          <w:sz w:val="32"/>
          <w:szCs w:val="32"/>
        </w:rPr>
        <w:t>结项</w:t>
      </w:r>
      <w:r>
        <w:rPr>
          <w:rFonts w:hint="eastAsia" w:ascii="楷体_GB2312" w:hAnsi="楷体_GB2312" w:eastAsia="楷体_GB2312" w:cs="楷体_GB2312"/>
          <w:b/>
          <w:bCs/>
          <w:color w:val="auto"/>
          <w:sz w:val="32"/>
          <w:szCs w:val="32"/>
          <w:lang w:eastAsia="zh-CN"/>
        </w:rPr>
        <w:t>时，</w:t>
      </w:r>
      <w:r>
        <w:rPr>
          <w:rFonts w:hint="eastAsia" w:ascii="楷体_GB2312" w:hAnsi="楷体_GB2312" w:eastAsia="楷体_GB2312" w:cs="楷体_GB2312"/>
          <w:b/>
          <w:bCs/>
          <w:color w:val="auto"/>
          <w:sz w:val="32"/>
          <w:szCs w:val="32"/>
        </w:rPr>
        <w:t>需附送立项后在</w:t>
      </w:r>
      <w:r>
        <w:rPr>
          <w:rFonts w:hint="eastAsia" w:ascii="楷体_GB2312" w:hAnsi="楷体_GB2312" w:eastAsia="楷体_GB2312" w:cs="楷体_GB2312"/>
          <w:b/>
          <w:bCs/>
          <w:color w:val="auto"/>
          <w:sz w:val="32"/>
          <w:szCs w:val="32"/>
          <w:lang w:eastAsia="zh-CN"/>
        </w:rPr>
        <w:t>有</w:t>
      </w:r>
      <w:r>
        <w:rPr>
          <w:rFonts w:hint="eastAsia" w:ascii="楷体_GB2312" w:hAnsi="楷体_GB2312" w:eastAsia="楷体_GB2312" w:cs="楷体_GB2312"/>
          <w:b/>
          <w:bCs/>
          <w:color w:val="auto"/>
          <w:sz w:val="32"/>
          <w:szCs w:val="32"/>
        </w:rPr>
        <w:t>国家正式刊号的期刊上发表的与研究相关的阶段性成果1篇</w:t>
      </w:r>
      <w:r>
        <w:rPr>
          <w:rFonts w:hint="eastAsia" w:ascii="楷体_GB2312" w:hAnsi="楷体_GB2312" w:eastAsia="楷体_GB2312" w:cs="楷体_GB2312"/>
          <w:b/>
          <w:bCs/>
          <w:color w:val="auto"/>
          <w:sz w:val="32"/>
          <w:szCs w:val="32"/>
          <w:lang w:eastAsia="zh-CN"/>
        </w:rPr>
        <w:t>，并</w:t>
      </w:r>
      <w:r>
        <w:rPr>
          <w:rFonts w:hint="eastAsia" w:ascii="楷体_GB2312" w:hAnsi="楷体_GB2312" w:eastAsia="楷体_GB2312" w:cs="楷体_GB2312"/>
          <w:b/>
          <w:bCs/>
          <w:sz w:val="32"/>
          <w:szCs w:val="32"/>
          <w:lang w:val="en-US" w:eastAsia="zh-CN"/>
        </w:rPr>
        <w:t>须提报3条以上对全省外事工作创新发展有决策参考价值的意见建议。完成时限1年。计划立项</w:t>
      </w:r>
      <w:r>
        <w:rPr>
          <w:rFonts w:hint="eastAsia" w:ascii="楷体_GB2312" w:hAnsi="楷体_GB2312" w:eastAsia="楷体_GB2312" w:cs="楷体_GB2312"/>
          <w:b/>
          <w:bCs/>
          <w:sz w:val="32"/>
          <w:szCs w:val="32"/>
          <w:highlight w:val="none"/>
          <w:lang w:val="en-US" w:eastAsia="zh-CN"/>
        </w:rPr>
        <w:t>20</w:t>
      </w:r>
      <w:r>
        <w:rPr>
          <w:rFonts w:hint="eastAsia" w:ascii="楷体_GB2312" w:hAnsi="楷体_GB2312" w:eastAsia="楷体_GB2312" w:cs="楷体_GB2312"/>
          <w:b/>
          <w:bCs/>
          <w:sz w:val="32"/>
          <w:szCs w:val="32"/>
          <w:lang w:val="en-US" w:eastAsia="zh-CN"/>
        </w:rPr>
        <w:t>项。</w:t>
      </w:r>
    </w:p>
    <w:p>
      <w:pPr>
        <w:pStyle w:val="2"/>
        <w:keepNext w:val="0"/>
        <w:keepLines w:val="0"/>
        <w:pageBreakBefore w:val="0"/>
        <w:kinsoku/>
        <w:wordWrap/>
        <w:overflowPunct/>
        <w:topLinePunct w:val="0"/>
        <w:bidi w:val="0"/>
        <w:spacing w:line="600" w:lineRule="exact"/>
        <w:textAlignment w:val="auto"/>
        <w:rPr>
          <w:rFonts w:hint="eastAsia"/>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1.“一带一路”建设开拓及面临的风险研究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2.山东在《区域全面经济伙伴关系协定》（RCEP）框架下的应对策略研究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3.《中欧全面投资协定》对山东与欧盟国家合作的影响研究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4.山东对外交往史实研究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5.社会组织参与国际交流合作研究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6.民间外交研究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7.中外青少年交流研究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8.高能级对外交往平台机制建设研究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9.山东与日本、韩国、东盟国家、上合组织国家、中东欧国家、欧美发达国家等交流合作研究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10.亚洲、欧洲、非洲、拉美、太平洋岛国等区域国别研究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11.国际友城交流合作研究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12.重点行业领域对外交流合作研究</w:t>
      </w:r>
    </w:p>
    <w:p>
      <w:pPr>
        <w:pStyle w:val="2"/>
        <w:spacing w:line="600" w:lineRule="exact"/>
        <w:rPr>
          <w:rFonts w:hint="eastAsia"/>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30" w:leftChars="0"/>
        <w:jc w:val="both"/>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八、数字山东研究专项</w:t>
      </w:r>
    </w:p>
    <w:p>
      <w:pPr>
        <w:keepNext w:val="0"/>
        <w:keepLines w:val="0"/>
        <w:pageBreakBefore w:val="0"/>
        <w:kinsoku/>
        <w:wordWrap/>
        <w:overflowPunct/>
        <w:topLinePunct w:val="0"/>
        <w:autoSpaceDE w:val="0"/>
        <w:autoSpaceDN w:val="0"/>
        <w:bidi w:val="0"/>
        <w:adjustRightInd w:val="0"/>
        <w:snapToGrid w:val="0"/>
        <w:spacing w:beforeAutospacing="0" w:afterAutospacing="0" w:line="600" w:lineRule="exact"/>
        <w:ind w:left="0" w:right="0" w:firstLine="643" w:firstLineChars="200"/>
        <w:textAlignment w:val="auto"/>
        <w:rPr>
          <w:rFonts w:hint="default"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为落实国家大数据战略，推进全省经济社会数字化转型，对数字政府、数字经济、数字社会、新型智慧城市建设等进行前瞻性研究，设立该专项。申报者</w:t>
      </w:r>
      <w:r>
        <w:rPr>
          <w:rFonts w:hint="eastAsia" w:ascii="楷体_GB2312" w:hAnsi="楷体_GB2312" w:eastAsia="楷体_GB2312" w:cs="楷体_GB2312"/>
          <w:b/>
          <w:bCs/>
          <w:color w:val="auto"/>
          <w:sz w:val="32"/>
          <w:szCs w:val="32"/>
          <w:lang w:eastAsia="zh-CN"/>
        </w:rPr>
        <w:t>应</w:t>
      </w:r>
      <w:r>
        <w:rPr>
          <w:rFonts w:hint="eastAsia" w:ascii="楷体_GB2312" w:hAnsi="楷体_GB2312" w:eastAsia="楷体_GB2312" w:cs="楷体_GB2312"/>
          <w:b/>
          <w:bCs/>
          <w:color w:val="auto"/>
          <w:sz w:val="32"/>
          <w:szCs w:val="32"/>
        </w:rPr>
        <w:t>紧扣选题研究方向，结合我省经济社会发展实际，自行设计</w:t>
      </w:r>
      <w:r>
        <w:rPr>
          <w:rFonts w:hint="eastAsia" w:ascii="楷体_GB2312" w:hAnsi="楷体_GB2312" w:eastAsia="楷体_GB2312" w:cs="楷体_GB2312"/>
          <w:b/>
          <w:bCs/>
          <w:color w:val="auto"/>
          <w:sz w:val="32"/>
          <w:szCs w:val="32"/>
          <w:lang w:eastAsia="zh-CN"/>
        </w:rPr>
        <w:t>具体题目。选题</w:t>
      </w:r>
      <w:r>
        <w:rPr>
          <w:rFonts w:hint="eastAsia" w:ascii="楷体_GB2312" w:hAnsi="楷体_GB2312" w:eastAsia="楷体_GB2312" w:cs="楷体_GB2312"/>
          <w:b/>
          <w:bCs/>
          <w:color w:val="auto"/>
          <w:sz w:val="32"/>
          <w:szCs w:val="32"/>
        </w:rPr>
        <w:t>力求具有较强的理论性和现实针对性。</w:t>
      </w:r>
      <w:r>
        <w:rPr>
          <w:rFonts w:hint="eastAsia" w:ascii="楷体_GB2312" w:hAnsi="楷体_GB2312" w:eastAsia="楷体_GB2312" w:cs="楷体_GB2312"/>
          <w:b/>
          <w:bCs/>
          <w:color w:val="auto"/>
          <w:sz w:val="32"/>
          <w:szCs w:val="32"/>
          <w:lang w:eastAsia="zh-CN"/>
        </w:rPr>
        <w:t>成</w:t>
      </w:r>
      <w:r>
        <w:rPr>
          <w:rFonts w:hint="eastAsia" w:ascii="楷体_GB2312" w:hAnsi="楷体_GB2312" w:eastAsia="楷体_GB2312" w:cs="楷体_GB2312"/>
          <w:b/>
          <w:bCs/>
          <w:color w:val="auto"/>
          <w:sz w:val="32"/>
          <w:szCs w:val="32"/>
        </w:rPr>
        <w:t>果形式</w:t>
      </w:r>
      <w:r>
        <w:rPr>
          <w:rFonts w:hint="eastAsia" w:ascii="楷体_GB2312" w:hAnsi="楷体_GB2312" w:eastAsia="楷体_GB2312" w:cs="楷体_GB2312"/>
          <w:b/>
          <w:bCs/>
          <w:color w:val="auto"/>
          <w:sz w:val="32"/>
          <w:szCs w:val="32"/>
          <w:lang w:eastAsia="zh-CN"/>
        </w:rPr>
        <w:t>为</w:t>
      </w:r>
      <w:r>
        <w:rPr>
          <w:rFonts w:hint="eastAsia" w:ascii="楷体_GB2312" w:hAnsi="楷体_GB2312" w:eastAsia="楷体_GB2312" w:cs="楷体_GB2312"/>
          <w:b/>
          <w:bCs/>
          <w:color w:val="auto"/>
          <w:sz w:val="32"/>
          <w:szCs w:val="32"/>
        </w:rPr>
        <w:t>研究报告</w:t>
      </w:r>
      <w:r>
        <w:rPr>
          <w:rFonts w:hint="eastAsia" w:ascii="楷体_GB2312" w:hAnsi="楷体_GB2312" w:eastAsia="楷体_GB2312" w:cs="楷体_GB2312"/>
          <w:b/>
          <w:bCs/>
          <w:color w:val="auto"/>
          <w:sz w:val="32"/>
          <w:szCs w:val="32"/>
          <w:lang w:eastAsia="zh-CN"/>
        </w:rPr>
        <w:t>的</w:t>
      </w:r>
      <w:r>
        <w:rPr>
          <w:rFonts w:hint="eastAsia" w:ascii="楷体_GB2312" w:hAnsi="楷体_GB2312" w:eastAsia="楷体_GB2312" w:cs="楷体_GB2312"/>
          <w:b/>
          <w:bCs/>
          <w:color w:val="auto"/>
          <w:sz w:val="32"/>
          <w:szCs w:val="32"/>
        </w:rPr>
        <w:t>，</w:t>
      </w:r>
      <w:r>
        <w:rPr>
          <w:rFonts w:hint="eastAsia" w:ascii="楷体_GB2312" w:hAnsi="楷体_GB2312" w:eastAsia="楷体_GB2312" w:cs="楷体_GB2312"/>
          <w:b/>
          <w:bCs/>
          <w:color w:val="auto"/>
          <w:sz w:val="32"/>
          <w:szCs w:val="32"/>
          <w:lang w:eastAsia="zh-CN"/>
        </w:rPr>
        <w:t>申请</w:t>
      </w:r>
      <w:r>
        <w:rPr>
          <w:rFonts w:hint="eastAsia" w:ascii="楷体_GB2312" w:hAnsi="楷体_GB2312" w:eastAsia="楷体_GB2312" w:cs="楷体_GB2312"/>
          <w:b/>
          <w:bCs/>
          <w:color w:val="auto"/>
          <w:sz w:val="32"/>
          <w:szCs w:val="32"/>
        </w:rPr>
        <w:t>结项</w:t>
      </w:r>
      <w:r>
        <w:rPr>
          <w:rFonts w:hint="eastAsia" w:ascii="楷体_GB2312" w:hAnsi="楷体_GB2312" w:eastAsia="楷体_GB2312" w:cs="楷体_GB2312"/>
          <w:b/>
          <w:bCs/>
          <w:color w:val="auto"/>
          <w:sz w:val="32"/>
          <w:szCs w:val="32"/>
          <w:lang w:eastAsia="zh-CN"/>
        </w:rPr>
        <w:t>时</w:t>
      </w:r>
      <w:r>
        <w:rPr>
          <w:rFonts w:hint="eastAsia" w:ascii="楷体_GB2312" w:hAnsi="楷体_GB2312" w:eastAsia="楷体_GB2312" w:cs="楷体_GB2312"/>
          <w:b/>
          <w:bCs/>
          <w:color w:val="auto"/>
          <w:sz w:val="32"/>
          <w:szCs w:val="32"/>
        </w:rPr>
        <w:t>需附送立项后在</w:t>
      </w:r>
      <w:r>
        <w:rPr>
          <w:rFonts w:hint="eastAsia" w:ascii="楷体_GB2312" w:hAnsi="楷体_GB2312" w:eastAsia="楷体_GB2312" w:cs="楷体_GB2312"/>
          <w:b/>
          <w:bCs/>
          <w:color w:val="auto"/>
          <w:sz w:val="32"/>
          <w:szCs w:val="32"/>
          <w:lang w:eastAsia="zh-CN"/>
        </w:rPr>
        <w:t>有</w:t>
      </w:r>
      <w:r>
        <w:rPr>
          <w:rFonts w:hint="eastAsia" w:ascii="楷体_GB2312" w:hAnsi="楷体_GB2312" w:eastAsia="楷体_GB2312" w:cs="楷体_GB2312"/>
          <w:b/>
          <w:bCs/>
          <w:color w:val="auto"/>
          <w:sz w:val="32"/>
          <w:szCs w:val="32"/>
        </w:rPr>
        <w:t>国家正式刊号的期刊上发表的与研究相关的阶段性成果1篇。</w:t>
      </w:r>
      <w:r>
        <w:rPr>
          <w:rFonts w:hint="eastAsia" w:ascii="楷体_GB2312" w:hAnsi="楷体_GB2312" w:eastAsia="楷体_GB2312" w:cs="楷体_GB2312"/>
          <w:b/>
          <w:bCs/>
          <w:color w:val="auto"/>
          <w:sz w:val="32"/>
          <w:szCs w:val="32"/>
          <w:lang w:eastAsia="zh-CN"/>
        </w:rPr>
        <w:t>完成时限为</w:t>
      </w:r>
      <w:r>
        <w:rPr>
          <w:rFonts w:hint="eastAsia" w:ascii="楷体_GB2312" w:hAnsi="楷体_GB2312" w:eastAsia="楷体_GB2312" w:cs="楷体_GB2312"/>
          <w:b/>
          <w:bCs/>
          <w:color w:val="auto"/>
          <w:sz w:val="32"/>
          <w:szCs w:val="32"/>
          <w:lang w:val="en-US" w:eastAsia="zh-CN"/>
        </w:rPr>
        <w:t>1年。计划立项4</w:t>
      </w:r>
      <w:r>
        <w:rPr>
          <w:rFonts w:hint="eastAsia" w:ascii="楷体_GB2312" w:hAnsi="楷体_GB2312" w:eastAsia="楷体_GB2312" w:cs="楷体_GB2312"/>
          <w:b/>
          <w:bCs/>
          <w:color w:val="auto"/>
          <w:sz w:val="32"/>
          <w:szCs w:val="32"/>
          <w:highlight w:val="none"/>
          <w:lang w:val="en-US" w:eastAsia="zh-CN"/>
        </w:rPr>
        <w:t>0-70</w:t>
      </w:r>
      <w:r>
        <w:rPr>
          <w:rFonts w:hint="eastAsia" w:ascii="楷体_GB2312" w:hAnsi="楷体_GB2312" w:eastAsia="楷体_GB2312" w:cs="楷体_GB2312"/>
          <w:b/>
          <w:bCs/>
          <w:color w:val="auto"/>
          <w:sz w:val="32"/>
          <w:szCs w:val="32"/>
          <w:lang w:val="en-US" w:eastAsia="zh-CN"/>
        </w:rPr>
        <w:t>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1.习近平总书记关于网络强国的重要论述与山东实践研究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2.山东数字强省建设研究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3.“十四五”期间山东数字化改革创新理论研究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4.山东省数字法治体系建设研究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5.山东省“掌上政务”建设研究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6.数字经济赋能山东“双循环”发展新格局研究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7.山东数据要素市场化研究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8.山东新型智慧城市建设研究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9.山东省数字基础设施建设研究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10.山东乡村振兴数字化建设研究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11.山东省一体化政务服务体系优化路径研究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12.打造山东大数据安全体系研究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13.打造山东大数据治理体系研究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14.打造山东大数据标准体系研究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15.山东大数据人才培育和招引机制研究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16.大数据普及应用研究</w:t>
      </w:r>
    </w:p>
    <w:p>
      <w:pPr>
        <w:pStyle w:val="2"/>
        <w:spacing w:line="600" w:lineRule="exact"/>
        <w:rPr>
          <w:rFonts w:hint="eastAsia"/>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30" w:leftChars="0"/>
        <w:jc w:val="both"/>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九、平安山东法治山东建设研究专项</w:t>
      </w:r>
    </w:p>
    <w:p>
      <w:pPr>
        <w:keepNext w:val="0"/>
        <w:keepLines w:val="0"/>
        <w:pageBreakBefore w:val="0"/>
        <w:kinsoku/>
        <w:wordWrap/>
        <w:overflowPunct/>
        <w:topLinePunct w:val="0"/>
        <w:bidi w:val="0"/>
        <w:adjustRightInd w:val="0"/>
        <w:snapToGrid w:val="0"/>
        <w:spacing w:beforeAutospacing="0" w:afterAutospacing="0" w:line="600" w:lineRule="exact"/>
        <w:ind w:firstLine="643" w:firstLineChars="200"/>
        <w:textAlignment w:val="auto"/>
        <w:rPr>
          <w:rFonts w:hint="eastAsia" w:ascii="楷体_GB2312" w:hAnsi="楷体_GB2312" w:eastAsia="楷体_GB2312" w:cs="楷体_GB2312"/>
          <w:b/>
          <w:bCs/>
          <w:color w:val="auto"/>
          <w:sz w:val="32"/>
          <w:szCs w:val="32"/>
          <w:lang w:eastAsia="zh-CN"/>
        </w:rPr>
      </w:pPr>
      <w:r>
        <w:rPr>
          <w:rFonts w:hint="eastAsia" w:ascii="楷体_GB2312" w:hAnsi="楷体_GB2312" w:eastAsia="楷体_GB2312" w:cs="楷体_GB2312"/>
          <w:b/>
          <w:bCs/>
          <w:color w:val="auto"/>
          <w:sz w:val="32"/>
          <w:szCs w:val="32"/>
        </w:rPr>
        <w:t>为认真学习贯彻习近平总书记</w:t>
      </w:r>
      <w:r>
        <w:rPr>
          <w:rFonts w:hint="eastAsia" w:ascii="楷体_GB2312" w:hAnsi="楷体_GB2312" w:eastAsia="楷体_GB2312" w:cs="楷体_GB2312"/>
          <w:b/>
          <w:bCs/>
          <w:color w:val="auto"/>
          <w:sz w:val="32"/>
          <w:szCs w:val="32"/>
          <w:lang w:val="en-US" w:eastAsia="zh-CN"/>
        </w:rPr>
        <w:t>法治思想，落实</w:t>
      </w:r>
      <w:r>
        <w:rPr>
          <w:rFonts w:hint="eastAsia" w:ascii="楷体_GB2312" w:hAnsi="楷体_GB2312" w:eastAsia="楷体_GB2312" w:cs="楷体_GB2312"/>
          <w:b/>
          <w:bCs/>
          <w:color w:val="auto"/>
          <w:sz w:val="32"/>
          <w:szCs w:val="32"/>
        </w:rPr>
        <w:t>全面依法治国新理念新思想新战略，</w:t>
      </w:r>
      <w:r>
        <w:rPr>
          <w:rFonts w:hint="eastAsia" w:ascii="楷体_GB2312" w:hAnsi="楷体_GB2312" w:eastAsia="楷体_GB2312" w:cs="楷体_GB2312"/>
          <w:b/>
          <w:bCs/>
          <w:color w:val="auto"/>
          <w:sz w:val="32"/>
          <w:szCs w:val="32"/>
          <w:lang w:eastAsia="zh-CN"/>
        </w:rPr>
        <w:t>为</w:t>
      </w:r>
      <w:r>
        <w:rPr>
          <w:rFonts w:hint="eastAsia" w:ascii="楷体_GB2312" w:hAnsi="楷体_GB2312" w:eastAsia="楷体_GB2312" w:cs="楷体_GB2312"/>
          <w:b/>
          <w:bCs/>
          <w:color w:val="auto"/>
          <w:sz w:val="32"/>
          <w:szCs w:val="32"/>
        </w:rPr>
        <w:t>加快推进新时代现代化强省建设提供法治实践研究和创新理论支撑</w:t>
      </w:r>
      <w:r>
        <w:rPr>
          <w:rFonts w:hint="eastAsia" w:ascii="楷体_GB2312" w:hAnsi="楷体_GB2312" w:eastAsia="楷体_GB2312" w:cs="楷体_GB2312"/>
          <w:b/>
          <w:bCs/>
          <w:color w:val="auto"/>
          <w:sz w:val="32"/>
          <w:szCs w:val="32"/>
          <w:lang w:eastAsia="zh-CN"/>
        </w:rPr>
        <w:t>，设立该专项。</w:t>
      </w:r>
      <w:r>
        <w:rPr>
          <w:rFonts w:hint="eastAsia" w:ascii="楷体_GB2312" w:hAnsi="楷体_GB2312" w:eastAsia="楷体_GB2312" w:cs="楷体_GB2312"/>
          <w:b/>
          <w:bCs/>
          <w:color w:val="auto"/>
          <w:sz w:val="32"/>
          <w:szCs w:val="32"/>
        </w:rPr>
        <w:t>申报</w:t>
      </w:r>
      <w:r>
        <w:rPr>
          <w:rFonts w:hint="eastAsia" w:ascii="楷体_GB2312" w:hAnsi="楷体_GB2312" w:eastAsia="楷体_GB2312" w:cs="楷体_GB2312"/>
          <w:b/>
          <w:bCs/>
          <w:color w:val="auto"/>
          <w:sz w:val="32"/>
          <w:szCs w:val="32"/>
          <w:lang w:eastAsia="zh-CN"/>
        </w:rPr>
        <w:t>者</w:t>
      </w:r>
      <w:r>
        <w:rPr>
          <w:rFonts w:hint="eastAsia" w:ascii="楷体_GB2312" w:hAnsi="楷体_GB2312" w:eastAsia="楷体_GB2312" w:cs="楷体_GB2312"/>
          <w:b/>
          <w:bCs/>
          <w:color w:val="auto"/>
          <w:sz w:val="32"/>
          <w:szCs w:val="32"/>
        </w:rPr>
        <w:t>须具有副高级以上（含）专业技术职称（职务）或从事法律事务工作担任正处级以上（含）职务，并由法学理论界与政法实务部门组成课题组申报。申报主题必须在本课题指南范围内，超出课题指南规定范围的无效。申</w:t>
      </w:r>
      <w:r>
        <w:rPr>
          <w:rFonts w:hint="eastAsia" w:ascii="楷体_GB2312" w:hAnsi="楷体_GB2312" w:eastAsia="楷体_GB2312" w:cs="楷体_GB2312"/>
          <w:b/>
          <w:bCs/>
          <w:color w:val="auto"/>
          <w:sz w:val="32"/>
          <w:szCs w:val="32"/>
          <w:lang w:eastAsia="zh-CN"/>
        </w:rPr>
        <w:t>报者</w:t>
      </w:r>
      <w:r>
        <w:rPr>
          <w:rFonts w:hint="eastAsia" w:ascii="楷体_GB2312" w:hAnsi="楷体_GB2312" w:eastAsia="楷体_GB2312" w:cs="楷体_GB2312"/>
          <w:b/>
          <w:bCs/>
          <w:color w:val="auto"/>
          <w:sz w:val="32"/>
          <w:szCs w:val="32"/>
        </w:rPr>
        <w:t>可根据研究专长、角度、方法，自拟</w:t>
      </w:r>
      <w:r>
        <w:rPr>
          <w:rFonts w:hint="eastAsia" w:ascii="楷体_GB2312" w:hAnsi="楷体_GB2312" w:eastAsia="楷体_GB2312" w:cs="楷体_GB2312"/>
          <w:b/>
          <w:bCs/>
          <w:color w:val="auto"/>
          <w:sz w:val="32"/>
          <w:szCs w:val="32"/>
          <w:lang w:eastAsia="zh-CN"/>
        </w:rPr>
        <w:t>题目</w:t>
      </w:r>
      <w:r>
        <w:rPr>
          <w:rFonts w:hint="eastAsia" w:ascii="楷体_GB2312" w:hAnsi="楷体_GB2312" w:eastAsia="楷体_GB2312" w:cs="楷体_GB2312"/>
          <w:b/>
          <w:bCs/>
          <w:color w:val="auto"/>
          <w:sz w:val="32"/>
          <w:szCs w:val="32"/>
        </w:rPr>
        <w:t>。</w:t>
      </w:r>
      <w:r>
        <w:rPr>
          <w:rFonts w:hint="eastAsia" w:ascii="楷体_GB2312" w:hAnsi="楷体_GB2312" w:eastAsia="楷体_GB2312" w:cs="楷体_GB2312"/>
          <w:b/>
          <w:bCs/>
          <w:color w:val="auto"/>
          <w:sz w:val="32"/>
          <w:szCs w:val="32"/>
          <w:lang w:eastAsia="zh-CN"/>
        </w:rPr>
        <w:t>完成</w:t>
      </w:r>
      <w:r>
        <w:rPr>
          <w:rFonts w:hint="eastAsia" w:ascii="楷体_GB2312" w:hAnsi="楷体_GB2312" w:eastAsia="楷体_GB2312" w:cs="楷体_GB2312"/>
          <w:b/>
          <w:bCs/>
          <w:color w:val="auto"/>
          <w:sz w:val="32"/>
          <w:szCs w:val="32"/>
        </w:rPr>
        <w:t>期限为</w:t>
      </w:r>
      <w:r>
        <w:rPr>
          <w:rFonts w:hint="eastAsia" w:ascii="楷体_GB2312" w:hAnsi="楷体_GB2312" w:eastAsia="楷体_GB2312" w:cs="楷体_GB2312"/>
          <w:b/>
          <w:bCs/>
          <w:color w:val="auto"/>
          <w:sz w:val="32"/>
          <w:szCs w:val="32"/>
          <w:lang w:val="en-US" w:eastAsia="zh-CN"/>
        </w:rPr>
        <w:t>6</w:t>
      </w:r>
      <w:r>
        <w:rPr>
          <w:rFonts w:hint="eastAsia" w:ascii="楷体_GB2312" w:hAnsi="楷体_GB2312" w:eastAsia="楷体_GB2312" w:cs="楷体_GB2312"/>
          <w:b/>
          <w:bCs/>
          <w:color w:val="auto"/>
          <w:sz w:val="32"/>
          <w:szCs w:val="32"/>
        </w:rPr>
        <w:t>个月</w:t>
      </w:r>
      <w:r>
        <w:rPr>
          <w:rFonts w:hint="eastAsia" w:ascii="楷体_GB2312" w:hAnsi="楷体_GB2312" w:eastAsia="楷体_GB2312" w:cs="楷体_GB2312"/>
          <w:b/>
          <w:bCs/>
          <w:color w:val="auto"/>
          <w:sz w:val="32"/>
          <w:szCs w:val="32"/>
          <w:lang w:val="en-US" w:eastAsia="zh-CN"/>
        </w:rPr>
        <w:t>。</w:t>
      </w:r>
      <w:r>
        <w:rPr>
          <w:rFonts w:hint="eastAsia" w:ascii="楷体_GB2312" w:hAnsi="楷体_GB2312" w:eastAsia="楷体_GB2312" w:cs="楷体_GB2312"/>
          <w:b/>
          <w:bCs/>
          <w:color w:val="auto"/>
          <w:sz w:val="32"/>
          <w:szCs w:val="32"/>
        </w:rPr>
        <w:t>成果形式为不少于</w:t>
      </w:r>
      <w:r>
        <w:rPr>
          <w:rFonts w:hint="eastAsia" w:ascii="楷体_GB2312" w:hAnsi="楷体_GB2312" w:eastAsia="楷体_GB2312" w:cs="楷体_GB2312"/>
          <w:b/>
          <w:bCs/>
          <w:color w:val="auto"/>
          <w:sz w:val="32"/>
          <w:szCs w:val="32"/>
          <w:lang w:val="en-US" w:eastAsia="zh-CN"/>
        </w:rPr>
        <w:t>10000</w:t>
      </w:r>
      <w:r>
        <w:rPr>
          <w:rFonts w:hint="eastAsia" w:ascii="楷体_GB2312" w:hAnsi="楷体_GB2312" w:eastAsia="楷体_GB2312" w:cs="楷体_GB2312"/>
          <w:b/>
          <w:bCs/>
          <w:color w:val="auto"/>
          <w:sz w:val="32"/>
          <w:szCs w:val="32"/>
        </w:rPr>
        <w:t>字</w:t>
      </w:r>
      <w:r>
        <w:rPr>
          <w:rFonts w:hint="eastAsia" w:ascii="楷体_GB2312" w:hAnsi="楷体_GB2312" w:eastAsia="楷体_GB2312" w:cs="楷体_GB2312"/>
          <w:b/>
          <w:bCs/>
          <w:color w:val="auto"/>
          <w:sz w:val="32"/>
          <w:szCs w:val="32"/>
          <w:lang w:eastAsia="zh-CN"/>
        </w:rPr>
        <w:t>的</w:t>
      </w:r>
      <w:r>
        <w:rPr>
          <w:rFonts w:hint="eastAsia" w:ascii="楷体_GB2312" w:hAnsi="楷体_GB2312" w:eastAsia="楷体_GB2312" w:cs="楷体_GB2312"/>
          <w:b/>
          <w:bCs/>
          <w:color w:val="auto"/>
          <w:sz w:val="32"/>
          <w:szCs w:val="32"/>
        </w:rPr>
        <w:t>调研报告</w:t>
      </w:r>
      <w:r>
        <w:rPr>
          <w:rFonts w:hint="eastAsia" w:ascii="楷体_GB2312" w:hAnsi="楷体_GB2312" w:eastAsia="楷体_GB2312" w:cs="楷体_GB2312"/>
          <w:b/>
          <w:bCs/>
          <w:color w:val="auto"/>
          <w:sz w:val="32"/>
          <w:szCs w:val="32"/>
          <w:lang w:eastAsia="zh-CN"/>
        </w:rPr>
        <w:t>及</w:t>
      </w:r>
      <w:r>
        <w:rPr>
          <w:rFonts w:hint="eastAsia" w:ascii="楷体_GB2312" w:hAnsi="楷体_GB2312" w:eastAsia="楷体_GB2312" w:cs="楷体_GB2312"/>
          <w:b/>
          <w:bCs/>
          <w:color w:val="auto"/>
          <w:sz w:val="32"/>
          <w:szCs w:val="32"/>
        </w:rPr>
        <w:t>1500字左右的</w:t>
      </w:r>
      <w:r>
        <w:rPr>
          <w:rFonts w:hint="eastAsia" w:ascii="楷体_GB2312" w:hAnsi="楷体_GB2312" w:eastAsia="楷体_GB2312" w:cs="楷体_GB2312"/>
          <w:b/>
          <w:bCs/>
          <w:color w:val="auto"/>
          <w:sz w:val="32"/>
          <w:szCs w:val="32"/>
          <w:lang w:eastAsia="zh-CN"/>
        </w:rPr>
        <w:t>智库建言报告。</w:t>
      </w:r>
      <w:r>
        <w:rPr>
          <w:rFonts w:hint="eastAsia" w:ascii="楷体_GB2312" w:hAnsi="楷体_GB2312" w:eastAsia="楷体_GB2312" w:cs="楷体_GB2312"/>
          <w:b/>
          <w:bCs/>
          <w:color w:val="auto"/>
          <w:sz w:val="32"/>
          <w:szCs w:val="32"/>
          <w:highlight w:val="none"/>
          <w:lang w:eastAsia="zh-CN"/>
        </w:rPr>
        <w:t>计划立项</w:t>
      </w:r>
      <w:r>
        <w:rPr>
          <w:rFonts w:hint="eastAsia" w:ascii="楷体_GB2312" w:hAnsi="楷体_GB2312" w:eastAsia="楷体_GB2312" w:cs="楷体_GB2312"/>
          <w:b/>
          <w:bCs/>
          <w:color w:val="auto"/>
          <w:sz w:val="32"/>
          <w:szCs w:val="32"/>
          <w:highlight w:val="none"/>
          <w:lang w:val="en-US" w:eastAsia="zh-CN"/>
        </w:rPr>
        <w:t>30</w:t>
      </w:r>
      <w:r>
        <w:rPr>
          <w:rFonts w:hint="eastAsia" w:ascii="楷体_GB2312" w:hAnsi="楷体_GB2312" w:eastAsia="楷体_GB2312" w:cs="楷体_GB2312"/>
          <w:b/>
          <w:bCs/>
          <w:color w:val="auto"/>
          <w:sz w:val="32"/>
          <w:szCs w:val="32"/>
          <w:highlight w:val="none"/>
          <w:lang w:eastAsia="zh-CN"/>
        </w:rPr>
        <w:t>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1.习近平法治思想与山东实践研究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2.贯彻《中国共产党政法工作条例》理论与实践研究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3.法治化营商环境保障山东经济社会高质量发展研究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4.打造具有山东特点的社会治理品牌研究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5.市域社会治理现代化理论与实践研究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6.非诉讼纠纷解决机制建设研究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7.扫黑除恶常态化机制建设研究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8.新技术新业态风险防范化解研究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9.深化办案运行机制、诉讼制度、执法司法制约监督体系改革研究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10.民法典实施相关问题研究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11.加强涉外法治人才队伍建设研究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12.加快政法新媒体矩阵平台构建研究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13.加强新型政法智库建设研究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30" w:leftChars="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14.深化齐鲁法治文化建设研究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30" w:leftChars="0"/>
        <w:jc w:val="both"/>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30" w:leftChars="0"/>
        <w:jc w:val="both"/>
        <w:textAlignment w:val="auto"/>
        <w:rPr>
          <w:rFonts w:hint="eastAsia" w:ascii="黑体" w:hAnsi="黑体" w:eastAsia="黑体" w:cs="黑体"/>
          <w:b/>
          <w:bCs/>
          <w:color w:val="auto"/>
          <w:sz w:val="32"/>
          <w:szCs w:val="32"/>
          <w:lang w:val="en-US" w:eastAsia="zh-CN"/>
        </w:rPr>
      </w:pPr>
      <w:r>
        <w:rPr>
          <w:rFonts w:hint="eastAsia" w:ascii="黑体" w:hAnsi="黑体" w:eastAsia="黑体" w:cs="黑体"/>
          <w:b/>
          <w:bCs/>
          <w:color w:val="auto"/>
          <w:sz w:val="32"/>
          <w:szCs w:val="32"/>
          <w:lang w:val="en-US" w:eastAsia="zh-CN"/>
        </w:rPr>
        <w:t>十、弘扬中华优秀传统文化研究专项</w:t>
      </w:r>
    </w:p>
    <w:p>
      <w:pPr>
        <w:pStyle w:val="2"/>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该专项主要围绕我省优秀传统文化的研究阐发，提炼展示我省优秀传统文化的精神标识，特别是其中具有当代价值、世界意义的文化精髓，推动中华优秀传统文化创造性转化、创新性发展。同时，着眼于用中华优秀传统文化涵养干部为政之德，设立此专项。</w:t>
      </w:r>
    </w:p>
    <w:p>
      <w:pPr>
        <w:keepNext w:val="0"/>
        <w:keepLines w:val="0"/>
        <w:pageBreakBefore w:val="0"/>
        <w:widowControl w:val="0"/>
        <w:kinsoku/>
        <w:wordWrap/>
        <w:overflowPunct/>
        <w:topLinePunct w:val="0"/>
        <w:autoSpaceDE w:val="0"/>
        <w:autoSpaceDN w:val="0"/>
        <w:bidi w:val="0"/>
        <w:adjustRightInd w:val="0"/>
        <w:spacing w:line="600" w:lineRule="exact"/>
        <w:ind w:firstLine="643" w:firstLineChars="200"/>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该专项由两部分组成，即“传统文化研究专题”和“干部政德教育研究专题”。申报者应紧扣选题研究方向，结合我省实际，自行设计具体题目。成果形式为研究报告的，申请</w:t>
      </w:r>
      <w:r>
        <w:rPr>
          <w:rFonts w:hint="eastAsia" w:ascii="楷体_GB2312" w:hAnsi="楷体_GB2312" w:eastAsia="楷体_GB2312" w:cs="楷体_GB2312"/>
          <w:b/>
          <w:bCs/>
          <w:color w:val="auto"/>
          <w:sz w:val="32"/>
          <w:szCs w:val="32"/>
          <w:highlight w:val="none"/>
          <w:lang w:val="en-US" w:eastAsia="zh-CN"/>
        </w:rPr>
        <w:t>结项时需附送立项后在有国家正式刊号的期刊上发表的、与项目研究相关的阶段性成果1篇。</w:t>
      </w:r>
      <w:r>
        <w:rPr>
          <w:rFonts w:hint="eastAsia" w:ascii="楷体_GB2312" w:hAnsi="楷体_GB2312" w:eastAsia="楷体_GB2312" w:cs="楷体_GB2312"/>
          <w:b/>
          <w:bCs/>
          <w:color w:val="auto"/>
          <w:sz w:val="32"/>
          <w:szCs w:val="32"/>
          <w:lang w:val="en-US" w:eastAsia="zh-CN"/>
        </w:rPr>
        <w:t>完成时限为1年。传统文化研究专题计划立项18项，</w:t>
      </w:r>
      <w:r>
        <w:rPr>
          <w:rFonts w:hint="eastAsia" w:ascii="楷体_GB2312" w:hAnsi="楷体_GB2312" w:eastAsia="楷体_GB2312" w:cs="楷体_GB2312"/>
          <w:b/>
          <w:bCs w:val="0"/>
          <w:color w:val="auto"/>
          <w:sz w:val="32"/>
          <w:szCs w:val="32"/>
          <w:lang w:val="en-US" w:eastAsia="zh-CN"/>
        </w:rPr>
        <w:t>申报材料中的项目类别为</w:t>
      </w:r>
      <w:r>
        <w:rPr>
          <w:rFonts w:hint="eastAsia" w:ascii="楷体_GB2312" w:hAnsi="楷体_GB2312" w:eastAsia="楷体_GB2312" w:cs="楷体_GB2312"/>
          <w:b/>
          <w:bCs/>
          <w:color w:val="auto"/>
          <w:sz w:val="32"/>
          <w:szCs w:val="32"/>
          <w:lang w:val="en-US" w:eastAsia="zh-CN"/>
        </w:rPr>
        <w:t>“传统文化研究专题”。干部政德研究专题计划立项</w:t>
      </w:r>
      <w:r>
        <w:rPr>
          <w:rFonts w:hint="eastAsia" w:ascii="楷体_GB2312" w:hAnsi="楷体_GB2312" w:eastAsia="楷体_GB2312" w:cs="楷体_GB2312"/>
          <w:b/>
          <w:bCs/>
          <w:color w:val="auto"/>
          <w:sz w:val="32"/>
          <w:szCs w:val="32"/>
          <w:highlight w:val="none"/>
          <w:lang w:val="en-US" w:eastAsia="zh-CN"/>
        </w:rPr>
        <w:t>12</w:t>
      </w:r>
      <w:r>
        <w:rPr>
          <w:rFonts w:hint="eastAsia" w:ascii="楷体_GB2312" w:hAnsi="楷体_GB2312" w:eastAsia="楷体_GB2312" w:cs="楷体_GB2312"/>
          <w:b/>
          <w:bCs/>
          <w:color w:val="auto"/>
          <w:sz w:val="32"/>
          <w:szCs w:val="32"/>
          <w:lang w:val="en-US" w:eastAsia="zh-CN"/>
        </w:rPr>
        <w:t>项，</w:t>
      </w:r>
      <w:r>
        <w:rPr>
          <w:rFonts w:hint="eastAsia" w:ascii="楷体_GB2312" w:hAnsi="楷体_GB2312" w:eastAsia="楷体_GB2312" w:cs="楷体_GB2312"/>
          <w:b/>
          <w:bCs w:val="0"/>
          <w:color w:val="auto"/>
          <w:sz w:val="32"/>
          <w:szCs w:val="32"/>
          <w:lang w:val="en-US" w:eastAsia="zh-CN"/>
        </w:rPr>
        <w:t>申报材料中的项目类别为</w:t>
      </w:r>
      <w:r>
        <w:rPr>
          <w:rFonts w:hint="eastAsia" w:ascii="楷体_GB2312" w:hAnsi="楷体_GB2312" w:eastAsia="楷体_GB2312" w:cs="楷体_GB2312"/>
          <w:b/>
          <w:bCs/>
          <w:color w:val="auto"/>
          <w:sz w:val="32"/>
          <w:szCs w:val="32"/>
          <w:lang w:val="en-US" w:eastAsia="zh-CN"/>
        </w:rPr>
        <w:t>“干部政德教育研究专题”。</w:t>
      </w:r>
    </w:p>
    <w:p>
      <w:pPr>
        <w:pStyle w:val="2"/>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sz w:val="32"/>
          <w:szCs w:val="32"/>
          <w:lang w:val="en-US" w:eastAsia="zh-CN"/>
        </w:rPr>
      </w:pPr>
    </w:p>
    <w:p>
      <w:pPr>
        <w:pStyle w:val="2"/>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传统文化研究专题</w:t>
      </w:r>
    </w:p>
    <w:p>
      <w:pPr>
        <w:pStyle w:val="2"/>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1.坚持马克思主义与弘扬中华优秀传统文化结合研究</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2.</w:t>
      </w:r>
      <w:r>
        <w:rPr>
          <w:rFonts w:hint="eastAsia" w:ascii="仿宋_GB2312" w:hAnsi="仿宋_GB2312" w:eastAsia="仿宋_GB2312" w:cs="仿宋_GB2312"/>
          <w:b/>
          <w:bCs/>
          <w:color w:val="auto"/>
          <w:sz w:val="32"/>
          <w:szCs w:val="32"/>
        </w:rPr>
        <w:t>中国共产党成立百年与</w:t>
      </w:r>
      <w:r>
        <w:rPr>
          <w:rFonts w:hint="eastAsia" w:ascii="仿宋_GB2312" w:hAnsi="仿宋_GB2312" w:eastAsia="仿宋_GB2312" w:cs="仿宋_GB2312"/>
          <w:b/>
          <w:bCs/>
          <w:color w:val="auto"/>
          <w:sz w:val="32"/>
          <w:szCs w:val="32"/>
          <w:lang w:eastAsia="zh-CN"/>
        </w:rPr>
        <w:t>弘扬</w:t>
      </w:r>
      <w:r>
        <w:rPr>
          <w:rFonts w:hint="eastAsia" w:ascii="仿宋_GB2312" w:hAnsi="仿宋_GB2312" w:eastAsia="仿宋_GB2312" w:cs="仿宋_GB2312"/>
          <w:b/>
          <w:bCs/>
          <w:color w:val="auto"/>
          <w:sz w:val="32"/>
          <w:szCs w:val="32"/>
        </w:rPr>
        <w:t>中华优秀传统文化研究</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3.中华优秀传统文化创造性转化、创新性发展的山东实践研究</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4.齐鲁优秀传统农耕文化研究</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5.传统文化的网络传播研究</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6.齐文化的内涵与当代价值研究</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7.山东中医药文化内涵与特质研究</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8.黄河文化研究</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9.泰山文化研究</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10.运河文化研究</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11.齐长城文化研究</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12.山东海疆文化研究</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13.墨子文化研究</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14.孙子文化研究</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b/>
          <w:bCs/>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干部政德教育研究专题</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1.中华优秀传统文化中的政德思想研究</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2.新时代习近平政德观研究</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3.中华优秀传统文化融入干部政德教育研究</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4.新时代领导干部文化自信培育研究</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5.仁政民本思想在基层社会治理中的价值研究</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6.和为贵理念在基层社会治理中的运用研究</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7.传统乡规民约在基层社会治理中的作用研究</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8.红色文化中的传统文化基因研究</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9.中华优秀家风家训与领导干部家风建设研究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30" w:leftChars="0"/>
        <w:jc w:val="both"/>
        <w:textAlignment w:val="auto"/>
        <w:rPr>
          <w:rFonts w:hint="eastAsia" w:ascii="黑体" w:hAnsi="黑体" w:eastAsia="黑体" w:cs="黑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30" w:leftChars="0"/>
        <w:jc w:val="both"/>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十一、文化旅游研究专项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lang w:eastAsia="zh-CN"/>
        </w:rPr>
        <w:t>为</w:t>
      </w:r>
      <w:r>
        <w:rPr>
          <w:rFonts w:hint="eastAsia" w:ascii="楷体_GB2312" w:hAnsi="楷体_GB2312" w:eastAsia="楷体_GB2312" w:cs="楷体_GB2312"/>
          <w:b/>
          <w:bCs/>
          <w:color w:val="auto"/>
          <w:sz w:val="32"/>
          <w:szCs w:val="32"/>
        </w:rPr>
        <w:t>助力文化和旅游产业融合发展、推动文化旅游强省建设</w:t>
      </w:r>
      <w:r>
        <w:rPr>
          <w:rFonts w:hint="eastAsia" w:ascii="楷体_GB2312" w:hAnsi="楷体_GB2312" w:eastAsia="楷体_GB2312" w:cs="楷体_GB2312"/>
          <w:b/>
          <w:bCs/>
          <w:color w:val="auto"/>
          <w:sz w:val="32"/>
          <w:szCs w:val="32"/>
          <w:lang w:eastAsia="zh-CN"/>
        </w:rPr>
        <w:t>，设立该专项。</w:t>
      </w:r>
      <w:r>
        <w:rPr>
          <w:rFonts w:hint="eastAsia" w:ascii="楷体_GB2312" w:hAnsi="楷体_GB2312" w:eastAsia="楷体_GB2312" w:cs="楷体_GB2312"/>
          <w:b/>
          <w:bCs/>
          <w:color w:val="auto"/>
          <w:sz w:val="32"/>
          <w:szCs w:val="32"/>
        </w:rPr>
        <w:t>申报者</w:t>
      </w:r>
      <w:r>
        <w:rPr>
          <w:rFonts w:hint="eastAsia" w:ascii="楷体_GB2312" w:hAnsi="楷体_GB2312" w:eastAsia="楷体_GB2312" w:cs="楷体_GB2312"/>
          <w:b/>
          <w:bCs/>
          <w:color w:val="auto"/>
          <w:sz w:val="32"/>
          <w:szCs w:val="32"/>
          <w:lang w:eastAsia="zh-CN"/>
        </w:rPr>
        <w:t>应</w:t>
      </w:r>
      <w:r>
        <w:rPr>
          <w:rFonts w:hint="eastAsia" w:ascii="楷体_GB2312" w:hAnsi="楷体_GB2312" w:eastAsia="楷体_GB2312" w:cs="楷体_GB2312"/>
          <w:b/>
          <w:bCs/>
          <w:color w:val="auto"/>
          <w:sz w:val="32"/>
          <w:szCs w:val="32"/>
        </w:rPr>
        <w:t>紧扣选题研究方向，结合我省</w:t>
      </w:r>
      <w:r>
        <w:rPr>
          <w:rFonts w:hint="eastAsia" w:ascii="楷体_GB2312" w:hAnsi="楷体_GB2312" w:eastAsia="楷体_GB2312" w:cs="楷体_GB2312"/>
          <w:b/>
          <w:bCs/>
          <w:color w:val="auto"/>
          <w:sz w:val="32"/>
          <w:szCs w:val="32"/>
          <w:lang w:val="en-US" w:eastAsia="zh-CN"/>
        </w:rPr>
        <w:t>文化和旅游</w:t>
      </w:r>
      <w:r>
        <w:rPr>
          <w:rFonts w:hint="eastAsia" w:ascii="楷体_GB2312" w:hAnsi="楷体_GB2312" w:eastAsia="楷体_GB2312" w:cs="楷体_GB2312"/>
          <w:b/>
          <w:bCs/>
          <w:color w:val="auto"/>
          <w:sz w:val="32"/>
          <w:szCs w:val="32"/>
        </w:rPr>
        <w:t>发展实际，自行设计</w:t>
      </w:r>
      <w:r>
        <w:rPr>
          <w:rFonts w:hint="eastAsia" w:ascii="楷体_GB2312" w:hAnsi="楷体_GB2312" w:eastAsia="楷体_GB2312" w:cs="楷体_GB2312"/>
          <w:b/>
          <w:bCs/>
          <w:color w:val="auto"/>
          <w:sz w:val="32"/>
          <w:szCs w:val="32"/>
          <w:lang w:eastAsia="zh-CN"/>
        </w:rPr>
        <w:t>具体题目。选题</w:t>
      </w:r>
      <w:r>
        <w:rPr>
          <w:rFonts w:hint="eastAsia" w:ascii="楷体_GB2312" w:hAnsi="楷体_GB2312" w:eastAsia="楷体_GB2312" w:cs="楷体_GB2312"/>
          <w:b/>
          <w:bCs/>
          <w:color w:val="auto"/>
          <w:sz w:val="32"/>
          <w:szCs w:val="32"/>
        </w:rPr>
        <w:t>力求具有较强的理论性和现实针对性。</w:t>
      </w:r>
      <w:r>
        <w:rPr>
          <w:rFonts w:hint="eastAsia" w:ascii="楷体_GB2312" w:hAnsi="楷体_GB2312" w:eastAsia="楷体_GB2312" w:cs="楷体_GB2312"/>
          <w:b/>
          <w:bCs/>
          <w:color w:val="auto"/>
          <w:sz w:val="32"/>
          <w:szCs w:val="32"/>
          <w:lang w:eastAsia="zh-CN"/>
        </w:rPr>
        <w:t>成</w:t>
      </w:r>
      <w:r>
        <w:rPr>
          <w:rFonts w:hint="eastAsia" w:ascii="楷体_GB2312" w:hAnsi="楷体_GB2312" w:eastAsia="楷体_GB2312" w:cs="楷体_GB2312"/>
          <w:b/>
          <w:bCs/>
          <w:color w:val="auto"/>
          <w:sz w:val="32"/>
          <w:szCs w:val="32"/>
        </w:rPr>
        <w:t>果形式</w:t>
      </w:r>
      <w:r>
        <w:rPr>
          <w:rFonts w:hint="eastAsia" w:ascii="楷体_GB2312" w:hAnsi="楷体_GB2312" w:eastAsia="楷体_GB2312" w:cs="楷体_GB2312"/>
          <w:b/>
          <w:bCs/>
          <w:color w:val="auto"/>
          <w:sz w:val="32"/>
          <w:szCs w:val="32"/>
          <w:lang w:eastAsia="zh-CN"/>
        </w:rPr>
        <w:t>为</w:t>
      </w:r>
      <w:r>
        <w:rPr>
          <w:rFonts w:hint="eastAsia" w:ascii="楷体_GB2312" w:hAnsi="楷体_GB2312" w:eastAsia="楷体_GB2312" w:cs="楷体_GB2312"/>
          <w:b/>
          <w:bCs/>
          <w:color w:val="auto"/>
          <w:sz w:val="32"/>
          <w:szCs w:val="32"/>
        </w:rPr>
        <w:t>研究报告</w:t>
      </w:r>
      <w:r>
        <w:rPr>
          <w:rFonts w:hint="eastAsia" w:ascii="楷体_GB2312" w:hAnsi="楷体_GB2312" w:eastAsia="楷体_GB2312" w:cs="楷体_GB2312"/>
          <w:b/>
          <w:bCs/>
          <w:color w:val="auto"/>
          <w:sz w:val="32"/>
          <w:szCs w:val="32"/>
          <w:lang w:eastAsia="zh-CN"/>
        </w:rPr>
        <w:t>的</w:t>
      </w:r>
      <w:r>
        <w:rPr>
          <w:rFonts w:hint="eastAsia" w:ascii="楷体_GB2312" w:hAnsi="楷体_GB2312" w:eastAsia="楷体_GB2312" w:cs="楷体_GB2312"/>
          <w:b/>
          <w:bCs/>
          <w:color w:val="auto"/>
          <w:sz w:val="32"/>
          <w:szCs w:val="32"/>
        </w:rPr>
        <w:t>，</w:t>
      </w:r>
      <w:r>
        <w:rPr>
          <w:rFonts w:hint="eastAsia" w:ascii="楷体_GB2312" w:hAnsi="楷体_GB2312" w:eastAsia="楷体_GB2312" w:cs="楷体_GB2312"/>
          <w:b/>
          <w:bCs/>
          <w:color w:val="auto"/>
          <w:sz w:val="32"/>
          <w:szCs w:val="32"/>
          <w:lang w:eastAsia="zh-CN"/>
        </w:rPr>
        <w:t>申请</w:t>
      </w:r>
      <w:r>
        <w:rPr>
          <w:rFonts w:hint="eastAsia" w:ascii="楷体_GB2312" w:hAnsi="楷体_GB2312" w:eastAsia="楷体_GB2312" w:cs="楷体_GB2312"/>
          <w:b/>
          <w:bCs/>
          <w:color w:val="auto"/>
          <w:sz w:val="32"/>
          <w:szCs w:val="32"/>
        </w:rPr>
        <w:t>结项</w:t>
      </w:r>
      <w:r>
        <w:rPr>
          <w:rFonts w:hint="eastAsia" w:ascii="楷体_GB2312" w:hAnsi="楷体_GB2312" w:eastAsia="楷体_GB2312" w:cs="楷体_GB2312"/>
          <w:b/>
          <w:bCs/>
          <w:color w:val="auto"/>
          <w:sz w:val="32"/>
          <w:szCs w:val="32"/>
          <w:lang w:eastAsia="zh-CN"/>
        </w:rPr>
        <w:t>时</w:t>
      </w:r>
      <w:r>
        <w:rPr>
          <w:rFonts w:hint="eastAsia" w:ascii="楷体_GB2312" w:hAnsi="楷体_GB2312" w:eastAsia="楷体_GB2312" w:cs="楷体_GB2312"/>
          <w:b/>
          <w:bCs/>
          <w:color w:val="auto"/>
          <w:sz w:val="32"/>
          <w:szCs w:val="32"/>
        </w:rPr>
        <w:t>需附送立项后在</w:t>
      </w:r>
      <w:r>
        <w:rPr>
          <w:rFonts w:hint="eastAsia" w:ascii="楷体_GB2312" w:hAnsi="楷体_GB2312" w:eastAsia="楷体_GB2312" w:cs="楷体_GB2312"/>
          <w:b/>
          <w:bCs/>
          <w:color w:val="auto"/>
          <w:sz w:val="32"/>
          <w:szCs w:val="32"/>
          <w:lang w:eastAsia="zh-CN"/>
        </w:rPr>
        <w:t>有</w:t>
      </w:r>
      <w:r>
        <w:rPr>
          <w:rFonts w:hint="eastAsia" w:ascii="楷体_GB2312" w:hAnsi="楷体_GB2312" w:eastAsia="楷体_GB2312" w:cs="楷体_GB2312"/>
          <w:b/>
          <w:bCs/>
          <w:color w:val="auto"/>
          <w:sz w:val="32"/>
          <w:szCs w:val="32"/>
        </w:rPr>
        <w:t>国家正式刊号的期刊上发表的与研究相关的阶段性成果1篇。</w:t>
      </w:r>
      <w:r>
        <w:rPr>
          <w:rFonts w:hint="eastAsia" w:ascii="楷体_GB2312" w:hAnsi="楷体_GB2312" w:eastAsia="楷体_GB2312" w:cs="楷体_GB2312"/>
          <w:b/>
          <w:bCs/>
          <w:color w:val="auto"/>
          <w:sz w:val="32"/>
          <w:szCs w:val="32"/>
          <w:lang w:eastAsia="zh-CN"/>
        </w:rPr>
        <w:t>完成时限</w:t>
      </w:r>
      <w:r>
        <w:rPr>
          <w:rFonts w:hint="eastAsia" w:ascii="楷体_GB2312" w:hAnsi="楷体_GB2312" w:eastAsia="楷体_GB2312" w:cs="楷体_GB2312"/>
          <w:b/>
          <w:bCs/>
          <w:color w:val="auto"/>
          <w:sz w:val="32"/>
          <w:szCs w:val="32"/>
          <w:lang w:val="en-US" w:eastAsia="zh-CN"/>
        </w:rPr>
        <w:t>1年</w:t>
      </w:r>
      <w:r>
        <w:rPr>
          <w:rFonts w:hint="eastAsia" w:ascii="楷体_GB2312" w:hAnsi="楷体_GB2312" w:eastAsia="楷体_GB2312" w:cs="楷体_GB2312"/>
          <w:b/>
          <w:bCs/>
          <w:color w:val="auto"/>
          <w:sz w:val="32"/>
          <w:szCs w:val="32"/>
          <w:highlight w:val="none"/>
          <w:lang w:val="en-US" w:eastAsia="zh-CN"/>
        </w:rPr>
        <w:t>。计划立项60项。</w:t>
      </w:r>
    </w:p>
    <w:p>
      <w:pPr>
        <w:pStyle w:val="2"/>
        <w:keepNext w:val="0"/>
        <w:keepLines w:val="0"/>
        <w:pageBreakBefore w:val="0"/>
        <w:widowControl w:val="0"/>
        <w:kinsoku/>
        <w:wordWrap/>
        <w:overflowPunct/>
        <w:topLinePunct w:val="0"/>
        <w:autoSpaceDE/>
        <w:autoSpaceDN/>
        <w:bidi w:val="0"/>
        <w:adjustRightInd/>
        <w:spacing w:line="600" w:lineRule="exact"/>
        <w:textAlignment w:val="auto"/>
        <w:rPr>
          <w:rFonts w:hint="eastAsia"/>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1.山东红色文化保护传承研究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2.山东重点文物保护发展研究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3.齐长城国家文化公园建设研究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4.工业、康养、体育、研学等文旅融合新业态研究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5.山东全域旅游创新发展路径研究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6.山东文化和旅游数字化建设研究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7.山东文化遗产保护传承与乡村旅游发展研究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8.山东文化和旅游公共服务体系高质量发展研究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9.山东文化演艺与旅游高质量发展研究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10.提升我省文化创意和精品旅游研究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11.加强山东文化和旅游市场管理研究</w:t>
      </w:r>
    </w:p>
    <w:p>
      <w:pPr>
        <w:pStyle w:val="2"/>
        <w:spacing w:line="600" w:lineRule="exact"/>
        <w:rPr>
          <w:rFonts w:hint="eastAsia"/>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30" w:leftChars="0"/>
        <w:jc w:val="both"/>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十二、山东人才研究专项</w:t>
      </w:r>
    </w:p>
    <w:p>
      <w:pPr>
        <w:keepNext w:val="0"/>
        <w:keepLines w:val="0"/>
        <w:pageBreakBefore w:val="0"/>
        <w:kinsoku/>
        <w:wordWrap/>
        <w:overflowPunct/>
        <w:topLinePunct w:val="0"/>
        <w:bidi w:val="0"/>
        <w:adjustRightInd w:val="0"/>
        <w:snapToGrid w:val="0"/>
        <w:spacing w:beforeAutospacing="0" w:afterAutospacing="0" w:line="600" w:lineRule="exact"/>
        <w:ind w:firstLine="643" w:firstLineChars="200"/>
        <w:textAlignment w:val="auto"/>
        <w:rPr>
          <w:rFonts w:hint="eastAsia" w:ascii="黑体" w:hAnsi="黑体" w:eastAsia="黑体" w:cs="黑体"/>
          <w:b/>
          <w:bCs/>
          <w:sz w:val="32"/>
          <w:szCs w:val="32"/>
          <w:lang w:val="en-US" w:eastAsia="zh-CN"/>
        </w:rPr>
      </w:pPr>
      <w:r>
        <w:rPr>
          <w:rFonts w:hint="eastAsia" w:ascii="楷体_GB2312" w:hAnsi="楷体_GB2312" w:eastAsia="楷体_GB2312" w:cs="楷体_GB2312"/>
          <w:b/>
          <w:bCs/>
          <w:color w:val="auto"/>
          <w:sz w:val="32"/>
          <w:szCs w:val="32"/>
          <w:lang w:val="en-US" w:eastAsia="zh-CN"/>
        </w:rPr>
        <w:t>该专项为贯彻落实“人才兴鲁”战略，聚焦聚力打造人才高地设立，由三部分组成：“齐鲁文化人才研究专题”“山东人才发展研究专题”和“智库高端人才培育研究专题”。</w:t>
      </w:r>
    </w:p>
    <w:p>
      <w:pPr>
        <w:keepNext w:val="0"/>
        <w:keepLines w:val="0"/>
        <w:pageBreakBefore w:val="0"/>
        <w:kinsoku/>
        <w:wordWrap/>
        <w:overflowPunct/>
        <w:topLinePunct w:val="0"/>
        <w:bidi w:val="0"/>
        <w:adjustRightInd w:val="0"/>
        <w:snapToGrid w:val="0"/>
        <w:spacing w:beforeAutospacing="0" w:afterAutospacing="0" w:line="600" w:lineRule="exact"/>
        <w:ind w:firstLine="643" w:firstLineChars="200"/>
        <w:textAlignment w:val="auto"/>
        <w:rPr>
          <w:rFonts w:hint="default"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eastAsia="zh-CN"/>
        </w:rPr>
        <w:t>齐鲁文化人才研究专题，</w:t>
      </w:r>
      <w:r>
        <w:rPr>
          <w:rFonts w:hint="eastAsia" w:ascii="楷体_GB2312" w:hAnsi="楷体_GB2312" w:eastAsia="楷体_GB2312" w:cs="楷体_GB2312"/>
          <w:b/>
          <w:bCs/>
          <w:color w:val="auto"/>
          <w:sz w:val="32"/>
          <w:szCs w:val="32"/>
        </w:rPr>
        <w:t>凡入选齐鲁文化名家、齐鲁文化英才的，可结合从事专业和研究领域，自行设计研究选题</w:t>
      </w:r>
      <w:r>
        <w:rPr>
          <w:rFonts w:hint="eastAsia" w:ascii="楷体_GB2312" w:hAnsi="楷体_GB2312" w:eastAsia="楷体_GB2312" w:cs="楷体_GB2312"/>
          <w:b/>
          <w:bCs/>
          <w:color w:val="auto"/>
          <w:sz w:val="32"/>
          <w:szCs w:val="32"/>
          <w:lang w:eastAsia="zh-CN"/>
        </w:rPr>
        <w:t>进行申报</w:t>
      </w:r>
      <w:r>
        <w:rPr>
          <w:rFonts w:hint="eastAsia" w:ascii="楷体_GB2312" w:hAnsi="楷体_GB2312" w:eastAsia="楷体_GB2312" w:cs="楷体_GB2312"/>
          <w:b/>
          <w:bCs/>
          <w:color w:val="auto"/>
          <w:sz w:val="32"/>
          <w:szCs w:val="32"/>
        </w:rPr>
        <w:t>，力求具有较强的理论性和现实针对性。每人每次只能申报一个项目，完成时限一般为1年，最长不超过2年。齐鲁文化人才专项资助经费，按照人才入选工程，分别从齐鲁文化名家工程、齐鲁文化英才工程专项资金中列支，申报者根据研究工作实际需要提出经费预算，由有关部门根据实际情况进行审定。齐鲁文化名家资助经费按照《齐鲁文化名家工程专项资金管理使用暂行办法》，采用后补助方式，待课题结项后，一次性拨付到齐鲁文化名家所在单位。专项资助款项，在每位齐鲁文化名家4年资助费总额度内列支。齐鲁文化英才承担的齐鲁文化人才专项，立项通过后，资助费按照《齐鲁文化英才工程专项资金管理使用暂行办法》，拨付到齐鲁文化英才所在单位。专项资助款项，在每位齐鲁文化英才每年不超过3万元的课题项目资助费中列支。承担齐鲁文化人才专项的齐鲁文化名家、齐鲁文化英才所在单位，给予本人及其团队相应的配套经费，并为其开展研究提供必要保障。申报齐鲁文化人才专项必须是期内入选的齐鲁文化名家、齐鲁文化英才</w:t>
      </w:r>
      <w:r>
        <w:rPr>
          <w:rFonts w:hint="eastAsia" w:ascii="楷体_GB2312" w:hAnsi="楷体_GB2312" w:eastAsia="楷体_GB2312" w:cs="楷体_GB2312"/>
          <w:b/>
          <w:bCs/>
          <w:color w:val="auto"/>
          <w:sz w:val="32"/>
          <w:szCs w:val="32"/>
          <w:lang w:eastAsia="zh-CN"/>
        </w:rPr>
        <w:t>。</w:t>
      </w:r>
      <w:r>
        <w:rPr>
          <w:rFonts w:hint="eastAsia" w:ascii="楷体_GB2312" w:hAnsi="楷体_GB2312" w:eastAsia="楷体_GB2312" w:cs="楷体_GB2312"/>
          <w:b/>
          <w:bCs w:val="0"/>
          <w:sz w:val="32"/>
          <w:szCs w:val="32"/>
          <w:lang w:val="en-US" w:eastAsia="zh-CN"/>
        </w:rPr>
        <w:t>申报材料中的项目类别为“</w:t>
      </w:r>
      <w:r>
        <w:rPr>
          <w:rFonts w:hint="eastAsia" w:ascii="楷体_GB2312" w:hAnsi="楷体_GB2312" w:eastAsia="楷体_GB2312" w:cs="楷体_GB2312"/>
          <w:b/>
          <w:bCs/>
          <w:color w:val="auto"/>
          <w:sz w:val="32"/>
          <w:szCs w:val="32"/>
          <w:lang w:eastAsia="zh-CN"/>
        </w:rPr>
        <w:t>齐鲁文化人才研究专题</w:t>
      </w:r>
      <w:r>
        <w:rPr>
          <w:rFonts w:hint="eastAsia" w:ascii="楷体_GB2312" w:hAnsi="楷体_GB2312" w:eastAsia="楷体_GB2312" w:cs="楷体_GB2312"/>
          <w:b/>
          <w:bCs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default"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山东人才发展研究专题应紧紧围绕山东省经济社会发展对人才的实际需要，在深入广泛调研的基础上，按照原题开展前瞻性研究。所列条目为课题名称，请选择其一进行申报。计划每个题目立1项，共</w:t>
      </w:r>
      <w:r>
        <w:rPr>
          <w:rFonts w:hint="eastAsia" w:ascii="楷体_GB2312" w:hAnsi="楷体_GB2312" w:eastAsia="楷体_GB2312" w:cs="楷体_GB2312"/>
          <w:b/>
          <w:bCs w:val="0"/>
          <w:sz w:val="32"/>
          <w:szCs w:val="32"/>
          <w:lang w:val="en-US" w:eastAsia="zh-CN"/>
        </w:rPr>
        <w:t>立项15项</w:t>
      </w:r>
      <w:r>
        <w:rPr>
          <w:rFonts w:hint="eastAsia" w:ascii="楷体_GB2312" w:hAnsi="楷体_GB2312" w:eastAsia="楷体_GB2312" w:cs="楷体_GB2312"/>
          <w:b/>
          <w:bCs/>
          <w:color w:val="auto"/>
          <w:sz w:val="32"/>
          <w:szCs w:val="32"/>
          <w:lang w:val="en-US" w:eastAsia="zh-CN"/>
        </w:rPr>
        <w:t>。</w:t>
      </w:r>
      <w:r>
        <w:rPr>
          <w:rFonts w:hint="eastAsia" w:ascii="楷体_GB2312" w:hAnsi="楷体_GB2312" w:eastAsia="楷体_GB2312" w:cs="楷体_GB2312"/>
          <w:b/>
          <w:bCs w:val="0"/>
          <w:sz w:val="32"/>
          <w:szCs w:val="32"/>
          <w:lang w:val="en-US" w:eastAsia="zh-CN"/>
        </w:rPr>
        <w:t>申报材料中的项目类别为“山东人才发展研究专题”。</w:t>
      </w:r>
    </w:p>
    <w:p>
      <w:pPr>
        <w:pStyle w:val="2"/>
        <w:keepNext w:val="0"/>
        <w:keepLines w:val="0"/>
        <w:pageBreakBefore w:val="0"/>
        <w:widowControl w:val="0"/>
        <w:tabs>
          <w:tab w:val="left" w:pos="936"/>
        </w:tabs>
        <w:kinsoku/>
        <w:wordWrap/>
        <w:overflowPunct/>
        <w:topLinePunct w:val="0"/>
        <w:autoSpaceDE/>
        <w:autoSpaceDN/>
        <w:bidi w:val="0"/>
        <w:adjustRightInd/>
        <w:spacing w:line="600" w:lineRule="exact"/>
        <w:ind w:firstLine="643" w:firstLineChars="200"/>
        <w:textAlignment w:val="auto"/>
        <w:rPr>
          <w:rFonts w:hint="eastAsia" w:ascii="楷体_GB2312" w:hAnsi="楷体_GB2312" w:eastAsia="楷体_GB2312" w:cs="楷体_GB2312"/>
          <w:b/>
          <w:bCs/>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智库高端人才培育研究专题，项目申报对象仅限于省智库高端人才。研究要立足山东省情，加强实地调查，力争推出高水平决策咨询成果。专题分为重点项目和一般项目。项目结项在报送研究报告进行鉴定的同时，重点项目需报送在全国中文核心期刊、中国人文社会科学核心期刊发表的阶段性研究成果1篇；一般项目需报送在有正式刊号的期刊上发表的阶段性成果1篇。重点项目完成时限一般不超过2年，一般项目完成时限一般不超过1年。计划立项21项，其中重点项目6项，一般项目15项。</w:t>
      </w:r>
      <w:r>
        <w:rPr>
          <w:rFonts w:hint="eastAsia" w:ascii="楷体_GB2312" w:hAnsi="楷体_GB2312" w:eastAsia="楷体_GB2312" w:cs="楷体_GB2312"/>
          <w:b/>
          <w:bCs w:val="0"/>
          <w:sz w:val="32"/>
          <w:szCs w:val="32"/>
          <w:lang w:val="en-US" w:eastAsia="zh-CN"/>
        </w:rPr>
        <w:t>申报材料中的项目类别为“</w:t>
      </w:r>
      <w:r>
        <w:rPr>
          <w:rFonts w:hint="eastAsia" w:ascii="楷体_GB2312" w:hAnsi="楷体_GB2312" w:eastAsia="楷体_GB2312" w:cs="楷体_GB2312"/>
          <w:b/>
          <w:bCs/>
          <w:color w:val="auto"/>
          <w:kern w:val="2"/>
          <w:sz w:val="32"/>
          <w:szCs w:val="32"/>
          <w:lang w:val="en-US" w:eastAsia="zh-CN" w:bidi="ar-SA"/>
        </w:rPr>
        <w:t>智库高端人才培育研究专题</w:t>
      </w:r>
      <w:r>
        <w:rPr>
          <w:rFonts w:hint="eastAsia" w:ascii="楷体_GB2312" w:hAnsi="楷体_GB2312" w:eastAsia="楷体_GB2312" w:cs="楷体_GB2312"/>
          <w:b/>
          <w:bCs w:val="0"/>
          <w:sz w:val="32"/>
          <w:szCs w:val="32"/>
          <w:lang w:val="en-US" w:eastAsia="zh-CN"/>
        </w:rPr>
        <w:t>”。</w:t>
      </w:r>
    </w:p>
    <w:p>
      <w:pPr>
        <w:pStyle w:val="2"/>
        <w:keepNext w:val="0"/>
        <w:keepLines w:val="0"/>
        <w:pageBreakBefore w:val="0"/>
        <w:widowControl w:val="0"/>
        <w:kinsoku/>
        <w:wordWrap/>
        <w:overflowPunct/>
        <w:topLinePunct w:val="0"/>
        <w:autoSpaceDE/>
        <w:autoSpaceDN/>
        <w:bidi w:val="0"/>
        <w:adjustRightInd/>
        <w:spacing w:line="600" w:lineRule="exact"/>
        <w:textAlignment w:val="auto"/>
        <w:rPr>
          <w:rFonts w:hint="eastAsia" w:ascii="仿宋_GB2312" w:hAnsi="仿宋_GB2312" w:eastAsia="仿宋_GB2312" w:cs="仿宋_GB2312"/>
          <w:b/>
          <w:bCs/>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山东人才发展研究专题</w:t>
      </w:r>
    </w:p>
    <w:p>
      <w:pPr>
        <w:pStyle w:val="2"/>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1.省“十四五”人才发展规划编制研究</w:t>
      </w:r>
    </w:p>
    <w:p>
      <w:pPr>
        <w:pStyle w:val="2"/>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2.突出能力水平和业绩贡献导向的高层次人才测评体系研究</w:t>
      </w:r>
    </w:p>
    <w:p>
      <w:pPr>
        <w:pStyle w:val="2"/>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3.基于政策和服务的人才发展环境评估</w:t>
      </w:r>
    </w:p>
    <w:p>
      <w:pPr>
        <w:pStyle w:val="2"/>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4.山东省省级人才工程遴选与验收评估体系研究</w:t>
      </w:r>
    </w:p>
    <w:p>
      <w:pPr>
        <w:pStyle w:val="2"/>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5.山东省人才工作目标责任制考核体系研究</w:t>
      </w:r>
    </w:p>
    <w:p>
      <w:pPr>
        <w:pStyle w:val="2"/>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6.深化山东省高校科研单位人才分类评价与激励对策研究</w:t>
      </w:r>
    </w:p>
    <w:p>
      <w:pPr>
        <w:pStyle w:val="2"/>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7.提升山东省人才发展市场化水平思路与对策研究</w:t>
      </w:r>
    </w:p>
    <w:p>
      <w:pPr>
        <w:pStyle w:val="2"/>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8.山东省技术经纪人培育路径研究</w:t>
      </w:r>
    </w:p>
    <w:p>
      <w:pPr>
        <w:pStyle w:val="2"/>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9.山东省人才飞地建设路径研究</w:t>
      </w:r>
    </w:p>
    <w:p>
      <w:pPr>
        <w:pStyle w:val="2"/>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10.“人才山东”品牌打造路径研究</w:t>
      </w:r>
    </w:p>
    <w:p>
      <w:pPr>
        <w:pStyle w:val="2"/>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11.提升山东省企业人才意识对策研究</w:t>
      </w:r>
    </w:p>
    <w:p>
      <w:pPr>
        <w:pStyle w:val="2"/>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12.山东省高校毕业生就业现状与职业发展研究</w:t>
      </w:r>
    </w:p>
    <w:p>
      <w:pPr>
        <w:pStyle w:val="2"/>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13.山东省16市人才竞争力现状分析与提升建议</w:t>
      </w:r>
    </w:p>
    <w:p>
      <w:pPr>
        <w:pStyle w:val="2"/>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14.“十强”产业人才发展现状与未来需求分析</w:t>
      </w:r>
    </w:p>
    <w:p>
      <w:pPr>
        <w:pStyle w:val="2"/>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15.山东省乡村人才振兴的现状与政策研究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30" w:leftChars="0"/>
        <w:jc w:val="both"/>
        <w:textAlignment w:val="auto"/>
        <w:rPr>
          <w:rFonts w:hint="eastAsia" w:ascii="黑体" w:hAnsi="黑体" w:eastAsia="黑体" w:cs="黑体"/>
          <w:b/>
          <w:bCs/>
          <w:color w:val="auto"/>
          <w:sz w:val="32"/>
          <w:szCs w:val="32"/>
          <w:lang w:val="en-US" w:eastAsia="zh-CN"/>
        </w:rPr>
      </w:pPr>
    </w:p>
    <w:p>
      <w:pPr>
        <w:pStyle w:val="2"/>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智库高端人才培育研究专题</w:t>
      </w:r>
    </w:p>
    <w:p>
      <w:pPr>
        <w:pStyle w:val="2"/>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重点项目选题：</w:t>
      </w:r>
    </w:p>
    <w:p>
      <w:pPr>
        <w:pStyle w:val="2"/>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1.基于科教强省建设的人才结构与产业结构适配度研究</w:t>
      </w:r>
    </w:p>
    <w:p>
      <w:pPr>
        <w:pStyle w:val="2"/>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2.山东黄河流域水资源—-水生态承载力与新旧动能转换的平衡发展研究</w:t>
      </w:r>
    </w:p>
    <w:p>
      <w:pPr>
        <w:pStyle w:val="2"/>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3.新发展格局下的山东城乡融合发展研究</w:t>
      </w:r>
    </w:p>
    <w:p>
      <w:pPr>
        <w:pStyle w:val="2"/>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4.山东省海洋战略性新兴产业发展研究</w:t>
      </w:r>
    </w:p>
    <w:p>
      <w:pPr>
        <w:pStyle w:val="2"/>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default"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5.山东省装备制造领域“十四五”科技创新突破的重点方向研究</w:t>
      </w:r>
    </w:p>
    <w:p>
      <w:pPr>
        <w:pStyle w:val="2"/>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6.推进我省创新创业生态系统建设的思路方法及政策研究</w:t>
      </w:r>
    </w:p>
    <w:p>
      <w:pPr>
        <w:pStyle w:val="2"/>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
          <w:bCs/>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一般项目选题：</w:t>
      </w:r>
    </w:p>
    <w:p>
      <w:pPr>
        <w:pStyle w:val="2"/>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1.山东省营商环境优化的统筹实践问题研究</w:t>
      </w:r>
    </w:p>
    <w:p>
      <w:pPr>
        <w:pStyle w:val="2"/>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2.山东省“碳中和”实现路径与措施的系统性实用性研究</w:t>
      </w:r>
    </w:p>
    <w:p>
      <w:pPr>
        <w:pStyle w:val="2"/>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3.山东省留才引才机制研究</w:t>
      </w:r>
    </w:p>
    <w:p>
      <w:pPr>
        <w:pStyle w:val="2"/>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4.保持产业链供应链安全稳定助力构建山东新发展格局研究</w:t>
      </w:r>
    </w:p>
    <w:p>
      <w:pPr>
        <w:pStyle w:val="2"/>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5.山东有效释放创新动能机制研究</w:t>
      </w:r>
    </w:p>
    <w:p>
      <w:pPr>
        <w:pStyle w:val="2"/>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default"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6.山东省高校科技成果产业化实施路径研究</w:t>
      </w:r>
    </w:p>
    <w:p>
      <w:pPr>
        <w:pStyle w:val="2"/>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7.优化科技金融产品和服务对策研究</w:t>
      </w:r>
    </w:p>
    <w:p>
      <w:pPr>
        <w:pStyle w:val="2"/>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8.创新型中小微企业成长案例研究</w:t>
      </w:r>
    </w:p>
    <w:p>
      <w:pPr>
        <w:pStyle w:val="2"/>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9.山东省重点领域创新力评估研究　　</w:t>
      </w:r>
    </w:p>
    <w:p>
      <w:pPr>
        <w:pStyle w:val="2"/>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10.山东省电子信息产业发展变化轨迹与趋势研究</w:t>
      </w:r>
    </w:p>
    <w:p>
      <w:pPr>
        <w:pStyle w:val="2"/>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11.新发展格局下山东先进制造业国际竞争力的提升机制和路径研究</w:t>
      </w:r>
    </w:p>
    <w:p>
      <w:pPr>
        <w:pStyle w:val="2"/>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12.山东省农业农村现代化指标体系构建研究</w:t>
      </w:r>
    </w:p>
    <w:p>
      <w:pPr>
        <w:pStyle w:val="2"/>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13.山东省提升应对重大公共卫生事件风险管控能力的策略研究</w:t>
      </w:r>
    </w:p>
    <w:p>
      <w:pPr>
        <w:pStyle w:val="2"/>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default"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14.乡村文化资源挖掘与山东一村一品建设研究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30" w:leftChars="0"/>
        <w:jc w:val="both"/>
        <w:textAlignment w:val="auto"/>
        <w:rPr>
          <w:rFonts w:hint="eastAsia" w:ascii="黑体" w:hAnsi="黑体" w:eastAsia="黑体" w:cs="黑体"/>
          <w:b/>
          <w:bCs/>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30" w:leftChars="0"/>
        <w:jc w:val="both"/>
        <w:textAlignment w:val="auto"/>
        <w:rPr>
          <w:rFonts w:hint="eastAsia" w:ascii="黑体" w:hAnsi="黑体" w:eastAsia="黑体" w:cs="黑体"/>
          <w:b/>
          <w:bCs/>
          <w:color w:val="auto"/>
          <w:sz w:val="32"/>
          <w:szCs w:val="32"/>
          <w:lang w:val="en-US" w:eastAsia="zh-CN"/>
        </w:rPr>
      </w:pPr>
      <w:r>
        <w:rPr>
          <w:rFonts w:hint="eastAsia" w:ascii="黑体" w:hAnsi="黑体" w:eastAsia="黑体" w:cs="黑体"/>
          <w:b/>
          <w:bCs/>
          <w:color w:val="auto"/>
          <w:sz w:val="32"/>
          <w:szCs w:val="32"/>
          <w:lang w:val="en-US" w:eastAsia="zh-CN"/>
        </w:rPr>
        <w:t>十三、志愿服务理论研究专项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该专项要紧紧围绕习近平总书记关于志愿服务的重要论述，根据中宣部、中央文明办关于志愿服务工作重要部署，结合我省志愿服务工作实际开展研究。</w:t>
      </w:r>
      <w:r>
        <w:rPr>
          <w:rFonts w:hint="eastAsia" w:ascii="楷体_GB2312" w:hAnsi="楷体_GB2312" w:eastAsia="楷体_GB2312" w:cs="楷体_GB2312"/>
          <w:b/>
          <w:bCs/>
          <w:color w:val="auto"/>
          <w:sz w:val="32"/>
          <w:szCs w:val="32"/>
          <w:lang w:val="en-US" w:eastAsia="zh-CN"/>
        </w:rPr>
        <w:t>所列条目为课题名称，请选择其一进行申报。全省公办</w:t>
      </w:r>
      <w:bookmarkStart w:id="0" w:name="_GoBack"/>
      <w:bookmarkEnd w:id="0"/>
      <w:r>
        <w:rPr>
          <w:rFonts w:hint="eastAsia" w:ascii="楷体_GB2312" w:hAnsi="楷体_GB2312" w:eastAsia="楷体_GB2312" w:cs="楷体_GB2312"/>
          <w:b/>
          <w:bCs/>
          <w:sz w:val="32"/>
          <w:szCs w:val="32"/>
          <w:lang w:val="en-US" w:eastAsia="zh-CN"/>
        </w:rPr>
        <w:t>本科高校，省级社科研究机构、党校（行政学院）具有副高以上职称或者博士学位的研究人员均可申报。成果形式为研究报告。申请结项时，重点项目需附送在全国中文核心期刊、中国人文社会科学核心期刊发表的阶段性成果1篇，一般项目需附送立项后在有国家正式刊号的期刊上发表的阶段性成果1篇。重点项目完成时限一般不超过2年，一般项目完成时限一般不超过1年。计划立项15项，其中，重点项目5项，一般项目10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default"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重点项目选题：</w:t>
      </w:r>
    </w:p>
    <w:p>
      <w:pPr>
        <w:pStyle w:val="2"/>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1.山东省志愿服务制度化法治化研究</w:t>
      </w:r>
    </w:p>
    <w:p>
      <w:pPr>
        <w:pStyle w:val="2"/>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2.山东省关爱困境儿童志愿服务的探索与实践</w:t>
      </w:r>
    </w:p>
    <w:p>
      <w:pPr>
        <w:pStyle w:val="2"/>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3.山东省新时代文明实践志愿服务发展路径创新研究</w:t>
      </w:r>
    </w:p>
    <w:p>
      <w:pPr>
        <w:pStyle w:val="2"/>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4.志愿服务参与基层社会治理制度化常态化研究</w:t>
      </w:r>
    </w:p>
    <w:p>
      <w:pPr>
        <w:pStyle w:val="2"/>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5.志愿服务纳入诚信体系建设研究</w:t>
      </w:r>
    </w:p>
    <w:p>
      <w:pPr>
        <w:pStyle w:val="2"/>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
          <w:bCs/>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default"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一般项目选题：</w:t>
      </w:r>
    </w:p>
    <w:p>
      <w:pPr>
        <w:pStyle w:val="2"/>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1.志愿者人口结构变化的影响及对策研究（性别、年龄、职业、收入水平、教育程度等）</w:t>
      </w:r>
    </w:p>
    <w:p>
      <w:pPr>
        <w:pStyle w:val="2"/>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2.新社会阶层志愿者队伍建设研究</w:t>
      </w:r>
    </w:p>
    <w:p>
      <w:pPr>
        <w:pStyle w:val="2"/>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3.志愿服务组织孵化培育研究</w:t>
      </w:r>
    </w:p>
    <w:p>
      <w:pPr>
        <w:pStyle w:val="2"/>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default"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4.民间志愿服务组织的发展困境及应对研究</w:t>
      </w:r>
    </w:p>
    <w:p>
      <w:pPr>
        <w:pStyle w:val="2"/>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5.企业志愿服务参与新时代文明实践模式与路径研究</w:t>
      </w:r>
    </w:p>
    <w:p>
      <w:pPr>
        <w:pStyle w:val="2"/>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6.志愿服务项目化运作机制与品牌化建设研究</w:t>
      </w:r>
    </w:p>
    <w:p>
      <w:pPr>
        <w:pStyle w:val="2"/>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7.常态化疫情防控背景下应急志愿服务体系建设研究</w:t>
      </w:r>
    </w:p>
    <w:p>
      <w:pPr>
        <w:pStyle w:val="2"/>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8.大数据背景下山东省志愿服务信息化建设研究</w:t>
      </w:r>
    </w:p>
    <w:p>
      <w:pPr>
        <w:pStyle w:val="2"/>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9.新时代文明实践中社会工作与志愿服务协同研究</w:t>
      </w:r>
    </w:p>
    <w:p>
      <w:pPr>
        <w:pStyle w:val="2"/>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10.新时代志愿服务发展趋势与规律研究</w:t>
      </w:r>
    </w:p>
    <w:p>
      <w:pPr>
        <w:pStyle w:val="2"/>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11.志愿服务常态长效机制研究</w:t>
      </w:r>
    </w:p>
    <w:p>
      <w:pPr>
        <w:pStyle w:val="2"/>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12.志愿服务评价考核体系研究</w:t>
      </w:r>
    </w:p>
    <w:p>
      <w:pPr>
        <w:pStyle w:val="2"/>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13.志愿服务激励保障机制研究</w:t>
      </w:r>
    </w:p>
    <w:p>
      <w:pPr>
        <w:pStyle w:val="2"/>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14.人口老龄化背景下的志愿服务机制研究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b/>
          <w:bCs/>
          <w:sz w:val="32"/>
          <w:szCs w:val="32"/>
          <w:lang w:val="en-US" w:eastAsia="zh-CN"/>
        </w:rPr>
      </w:pPr>
    </w:p>
    <w:p>
      <w:pPr>
        <w:pStyle w:val="2"/>
        <w:rPr>
          <w:rFonts w:hint="eastAsia"/>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AA6275"/>
    <w:rsid w:val="00AB2353"/>
    <w:rsid w:val="00B244B4"/>
    <w:rsid w:val="00F14FE0"/>
    <w:rsid w:val="01114B59"/>
    <w:rsid w:val="015F5E25"/>
    <w:rsid w:val="01707198"/>
    <w:rsid w:val="01834D4B"/>
    <w:rsid w:val="01A93849"/>
    <w:rsid w:val="01EA3265"/>
    <w:rsid w:val="022351F3"/>
    <w:rsid w:val="02B011DA"/>
    <w:rsid w:val="02C469C1"/>
    <w:rsid w:val="02FA40AB"/>
    <w:rsid w:val="03044C94"/>
    <w:rsid w:val="031B4A60"/>
    <w:rsid w:val="036E78A0"/>
    <w:rsid w:val="03800506"/>
    <w:rsid w:val="03970114"/>
    <w:rsid w:val="03A2151C"/>
    <w:rsid w:val="03DA555B"/>
    <w:rsid w:val="03FD30A7"/>
    <w:rsid w:val="04047935"/>
    <w:rsid w:val="041C6065"/>
    <w:rsid w:val="04544243"/>
    <w:rsid w:val="04A95AA1"/>
    <w:rsid w:val="04CA4825"/>
    <w:rsid w:val="04E70A5B"/>
    <w:rsid w:val="051402B5"/>
    <w:rsid w:val="051E29E1"/>
    <w:rsid w:val="052E2437"/>
    <w:rsid w:val="054329E6"/>
    <w:rsid w:val="05870F0F"/>
    <w:rsid w:val="06663CB1"/>
    <w:rsid w:val="06800B2D"/>
    <w:rsid w:val="070A7AE4"/>
    <w:rsid w:val="0757253F"/>
    <w:rsid w:val="07B115CE"/>
    <w:rsid w:val="07B1235C"/>
    <w:rsid w:val="07BF7F3B"/>
    <w:rsid w:val="08196140"/>
    <w:rsid w:val="08442D54"/>
    <w:rsid w:val="08C950CB"/>
    <w:rsid w:val="08C9759E"/>
    <w:rsid w:val="09022D4C"/>
    <w:rsid w:val="09242A6D"/>
    <w:rsid w:val="093D091A"/>
    <w:rsid w:val="093D5D11"/>
    <w:rsid w:val="096503DA"/>
    <w:rsid w:val="09945089"/>
    <w:rsid w:val="09CE4628"/>
    <w:rsid w:val="09DA0AEA"/>
    <w:rsid w:val="09E66FF6"/>
    <w:rsid w:val="0A1A68E8"/>
    <w:rsid w:val="0A49684F"/>
    <w:rsid w:val="0A52533E"/>
    <w:rsid w:val="0AF87C7F"/>
    <w:rsid w:val="0B010302"/>
    <w:rsid w:val="0B311C8A"/>
    <w:rsid w:val="0B730FE2"/>
    <w:rsid w:val="0BAE0BA4"/>
    <w:rsid w:val="0C0C49B8"/>
    <w:rsid w:val="0C3F35A7"/>
    <w:rsid w:val="0C587ED4"/>
    <w:rsid w:val="0CAF7F11"/>
    <w:rsid w:val="0CFA7255"/>
    <w:rsid w:val="0CFE763E"/>
    <w:rsid w:val="0D173D2A"/>
    <w:rsid w:val="0DA953A3"/>
    <w:rsid w:val="0E016F27"/>
    <w:rsid w:val="0E35380A"/>
    <w:rsid w:val="0E472075"/>
    <w:rsid w:val="0E542926"/>
    <w:rsid w:val="0E8411AE"/>
    <w:rsid w:val="0E94271F"/>
    <w:rsid w:val="0E975E7F"/>
    <w:rsid w:val="0ED03F86"/>
    <w:rsid w:val="0F4D2C40"/>
    <w:rsid w:val="0F6A454B"/>
    <w:rsid w:val="0F830E04"/>
    <w:rsid w:val="0F9F1B85"/>
    <w:rsid w:val="0FDA4382"/>
    <w:rsid w:val="0FE852C2"/>
    <w:rsid w:val="10A71C51"/>
    <w:rsid w:val="112435DD"/>
    <w:rsid w:val="113003E6"/>
    <w:rsid w:val="1153036B"/>
    <w:rsid w:val="117B5305"/>
    <w:rsid w:val="11E243D1"/>
    <w:rsid w:val="11FC69F3"/>
    <w:rsid w:val="12095649"/>
    <w:rsid w:val="12870446"/>
    <w:rsid w:val="12D05C34"/>
    <w:rsid w:val="13247A98"/>
    <w:rsid w:val="133C6ADE"/>
    <w:rsid w:val="137D7320"/>
    <w:rsid w:val="13BD1997"/>
    <w:rsid w:val="13E66E34"/>
    <w:rsid w:val="13E828A1"/>
    <w:rsid w:val="14251580"/>
    <w:rsid w:val="14305FCB"/>
    <w:rsid w:val="144066A3"/>
    <w:rsid w:val="14820E77"/>
    <w:rsid w:val="14844D0E"/>
    <w:rsid w:val="14F91847"/>
    <w:rsid w:val="153B44C2"/>
    <w:rsid w:val="153E2182"/>
    <w:rsid w:val="15575DDB"/>
    <w:rsid w:val="159064B1"/>
    <w:rsid w:val="15940342"/>
    <w:rsid w:val="15944592"/>
    <w:rsid w:val="162A27FA"/>
    <w:rsid w:val="163D5037"/>
    <w:rsid w:val="16627715"/>
    <w:rsid w:val="17424DBA"/>
    <w:rsid w:val="17D42347"/>
    <w:rsid w:val="17D65432"/>
    <w:rsid w:val="17DA28CD"/>
    <w:rsid w:val="181027C6"/>
    <w:rsid w:val="18660684"/>
    <w:rsid w:val="18761EA7"/>
    <w:rsid w:val="18BE06CA"/>
    <w:rsid w:val="199065BA"/>
    <w:rsid w:val="19CA3ABC"/>
    <w:rsid w:val="1AE4594A"/>
    <w:rsid w:val="1B554BBA"/>
    <w:rsid w:val="1B5570A1"/>
    <w:rsid w:val="1B6A74E1"/>
    <w:rsid w:val="1B756950"/>
    <w:rsid w:val="1B771AA0"/>
    <w:rsid w:val="1BAB4925"/>
    <w:rsid w:val="1BB547BB"/>
    <w:rsid w:val="1BCE6F03"/>
    <w:rsid w:val="1BDD07B7"/>
    <w:rsid w:val="1C2465B1"/>
    <w:rsid w:val="1C426F90"/>
    <w:rsid w:val="1C427F64"/>
    <w:rsid w:val="1CE3176F"/>
    <w:rsid w:val="1DB1326B"/>
    <w:rsid w:val="1DC34D5F"/>
    <w:rsid w:val="1DF62329"/>
    <w:rsid w:val="1E062B64"/>
    <w:rsid w:val="1E355B24"/>
    <w:rsid w:val="1E380C95"/>
    <w:rsid w:val="1E833A5B"/>
    <w:rsid w:val="1EED5C5E"/>
    <w:rsid w:val="1FE34D27"/>
    <w:rsid w:val="20697F0D"/>
    <w:rsid w:val="20C22BF8"/>
    <w:rsid w:val="21B00645"/>
    <w:rsid w:val="226010E6"/>
    <w:rsid w:val="230C165B"/>
    <w:rsid w:val="231207A1"/>
    <w:rsid w:val="231353AB"/>
    <w:rsid w:val="231A115B"/>
    <w:rsid w:val="2349437F"/>
    <w:rsid w:val="23D74278"/>
    <w:rsid w:val="23FA0B05"/>
    <w:rsid w:val="24470D45"/>
    <w:rsid w:val="245A2F6F"/>
    <w:rsid w:val="246F2DE9"/>
    <w:rsid w:val="24DC01A6"/>
    <w:rsid w:val="24EE3A63"/>
    <w:rsid w:val="259E19E6"/>
    <w:rsid w:val="25BA22DF"/>
    <w:rsid w:val="2611326F"/>
    <w:rsid w:val="26A26F6A"/>
    <w:rsid w:val="26B10FD5"/>
    <w:rsid w:val="26EC6506"/>
    <w:rsid w:val="273214CB"/>
    <w:rsid w:val="276E6F5F"/>
    <w:rsid w:val="27976BC6"/>
    <w:rsid w:val="27D860B2"/>
    <w:rsid w:val="28015FA1"/>
    <w:rsid w:val="281818EA"/>
    <w:rsid w:val="288D57D4"/>
    <w:rsid w:val="28A4712B"/>
    <w:rsid w:val="28E7496F"/>
    <w:rsid w:val="29272939"/>
    <w:rsid w:val="292D2AE0"/>
    <w:rsid w:val="29527261"/>
    <w:rsid w:val="29F95491"/>
    <w:rsid w:val="2A4C713C"/>
    <w:rsid w:val="2A5637C1"/>
    <w:rsid w:val="2AB83AD0"/>
    <w:rsid w:val="2B1846F2"/>
    <w:rsid w:val="2B4D6CC6"/>
    <w:rsid w:val="2B780C39"/>
    <w:rsid w:val="2BC26688"/>
    <w:rsid w:val="2C6E34F0"/>
    <w:rsid w:val="2C81600C"/>
    <w:rsid w:val="2CB5470E"/>
    <w:rsid w:val="2DC53952"/>
    <w:rsid w:val="2DF9093B"/>
    <w:rsid w:val="2E3B1CAD"/>
    <w:rsid w:val="2E46012F"/>
    <w:rsid w:val="2EB1312F"/>
    <w:rsid w:val="2EC27906"/>
    <w:rsid w:val="2F642355"/>
    <w:rsid w:val="2F660608"/>
    <w:rsid w:val="2F7668DB"/>
    <w:rsid w:val="2F7C7880"/>
    <w:rsid w:val="30231544"/>
    <w:rsid w:val="30235AD9"/>
    <w:rsid w:val="305C0064"/>
    <w:rsid w:val="308733A3"/>
    <w:rsid w:val="309055A7"/>
    <w:rsid w:val="30F420D1"/>
    <w:rsid w:val="315F21F7"/>
    <w:rsid w:val="316261AE"/>
    <w:rsid w:val="319E1C07"/>
    <w:rsid w:val="31A0393F"/>
    <w:rsid w:val="31B006B0"/>
    <w:rsid w:val="31C65E3B"/>
    <w:rsid w:val="31E229D9"/>
    <w:rsid w:val="32762F1E"/>
    <w:rsid w:val="32B96701"/>
    <w:rsid w:val="32C8210A"/>
    <w:rsid w:val="32FE008A"/>
    <w:rsid w:val="32FF19E3"/>
    <w:rsid w:val="33423E91"/>
    <w:rsid w:val="33850CD2"/>
    <w:rsid w:val="33AF1AD9"/>
    <w:rsid w:val="340B1800"/>
    <w:rsid w:val="343806C3"/>
    <w:rsid w:val="345133DF"/>
    <w:rsid w:val="3475468B"/>
    <w:rsid w:val="349806DF"/>
    <w:rsid w:val="34B24141"/>
    <w:rsid w:val="34F77A95"/>
    <w:rsid w:val="352D07FE"/>
    <w:rsid w:val="35542D80"/>
    <w:rsid w:val="355D4C76"/>
    <w:rsid w:val="3575362D"/>
    <w:rsid w:val="35B373EF"/>
    <w:rsid w:val="35EE00C4"/>
    <w:rsid w:val="3600150B"/>
    <w:rsid w:val="36401059"/>
    <w:rsid w:val="364C5CA0"/>
    <w:rsid w:val="36812135"/>
    <w:rsid w:val="36D0357C"/>
    <w:rsid w:val="376B48E1"/>
    <w:rsid w:val="37894883"/>
    <w:rsid w:val="378D5769"/>
    <w:rsid w:val="37D44D71"/>
    <w:rsid w:val="37ED1994"/>
    <w:rsid w:val="38665A19"/>
    <w:rsid w:val="388B4B00"/>
    <w:rsid w:val="38E62F20"/>
    <w:rsid w:val="3986698B"/>
    <w:rsid w:val="398F7882"/>
    <w:rsid w:val="399901B0"/>
    <w:rsid w:val="39BD6789"/>
    <w:rsid w:val="39D009C6"/>
    <w:rsid w:val="39DB04A8"/>
    <w:rsid w:val="39E2392C"/>
    <w:rsid w:val="3A122C66"/>
    <w:rsid w:val="3A1337B2"/>
    <w:rsid w:val="3A323FD6"/>
    <w:rsid w:val="3A6D1CF8"/>
    <w:rsid w:val="3A846B6B"/>
    <w:rsid w:val="3B761828"/>
    <w:rsid w:val="3C0F6503"/>
    <w:rsid w:val="3C1F65A6"/>
    <w:rsid w:val="3C256AF9"/>
    <w:rsid w:val="3C76269D"/>
    <w:rsid w:val="3C972BB1"/>
    <w:rsid w:val="3CF171B4"/>
    <w:rsid w:val="3D166BFB"/>
    <w:rsid w:val="3D326F6B"/>
    <w:rsid w:val="3D4B6A67"/>
    <w:rsid w:val="3DA003A4"/>
    <w:rsid w:val="3E1866D9"/>
    <w:rsid w:val="3E8D1066"/>
    <w:rsid w:val="3EB57B66"/>
    <w:rsid w:val="3F982DC5"/>
    <w:rsid w:val="3FA02262"/>
    <w:rsid w:val="404E6291"/>
    <w:rsid w:val="40550443"/>
    <w:rsid w:val="40AF6F93"/>
    <w:rsid w:val="40DB2101"/>
    <w:rsid w:val="414E194D"/>
    <w:rsid w:val="416A0A67"/>
    <w:rsid w:val="416A688E"/>
    <w:rsid w:val="420C24EC"/>
    <w:rsid w:val="428C1BEE"/>
    <w:rsid w:val="42BC56A4"/>
    <w:rsid w:val="437B5796"/>
    <w:rsid w:val="43AD771C"/>
    <w:rsid w:val="43E73EDC"/>
    <w:rsid w:val="43F04482"/>
    <w:rsid w:val="443C6348"/>
    <w:rsid w:val="44834762"/>
    <w:rsid w:val="44EE1847"/>
    <w:rsid w:val="44FE03BB"/>
    <w:rsid w:val="454605CD"/>
    <w:rsid w:val="45B53DEF"/>
    <w:rsid w:val="45C260D6"/>
    <w:rsid w:val="46046289"/>
    <w:rsid w:val="46627812"/>
    <w:rsid w:val="467C3D68"/>
    <w:rsid w:val="468D2DA1"/>
    <w:rsid w:val="46902DA7"/>
    <w:rsid w:val="469410F0"/>
    <w:rsid w:val="4731683B"/>
    <w:rsid w:val="474246F0"/>
    <w:rsid w:val="47926077"/>
    <w:rsid w:val="47D13F0B"/>
    <w:rsid w:val="480F7A93"/>
    <w:rsid w:val="4832028F"/>
    <w:rsid w:val="483E46B9"/>
    <w:rsid w:val="48521B1B"/>
    <w:rsid w:val="486626EF"/>
    <w:rsid w:val="488A3293"/>
    <w:rsid w:val="488C5A32"/>
    <w:rsid w:val="489B498A"/>
    <w:rsid w:val="48A91307"/>
    <w:rsid w:val="48AC260C"/>
    <w:rsid w:val="498A2E38"/>
    <w:rsid w:val="49A146AD"/>
    <w:rsid w:val="49E4000D"/>
    <w:rsid w:val="4A847A2A"/>
    <w:rsid w:val="4AB94C62"/>
    <w:rsid w:val="4AC01BAB"/>
    <w:rsid w:val="4B416BE3"/>
    <w:rsid w:val="4B507F61"/>
    <w:rsid w:val="4BA72171"/>
    <w:rsid w:val="4C666F27"/>
    <w:rsid w:val="4C6D195A"/>
    <w:rsid w:val="4CEA6622"/>
    <w:rsid w:val="4E1E7A6D"/>
    <w:rsid w:val="4E8A3CBA"/>
    <w:rsid w:val="4EE15A85"/>
    <w:rsid w:val="4F16531E"/>
    <w:rsid w:val="4F7D4E5B"/>
    <w:rsid w:val="4F864AB9"/>
    <w:rsid w:val="4FAA1CFB"/>
    <w:rsid w:val="4FD750A7"/>
    <w:rsid w:val="4FE411D6"/>
    <w:rsid w:val="502401E9"/>
    <w:rsid w:val="50BB09CC"/>
    <w:rsid w:val="516D22E6"/>
    <w:rsid w:val="517626DF"/>
    <w:rsid w:val="519C0B0F"/>
    <w:rsid w:val="528B3152"/>
    <w:rsid w:val="535C205A"/>
    <w:rsid w:val="546A0981"/>
    <w:rsid w:val="5472496D"/>
    <w:rsid w:val="54762773"/>
    <w:rsid w:val="55352419"/>
    <w:rsid w:val="554C6210"/>
    <w:rsid w:val="557F5BCC"/>
    <w:rsid w:val="56195C62"/>
    <w:rsid w:val="56584533"/>
    <w:rsid w:val="56CE470E"/>
    <w:rsid w:val="571332F1"/>
    <w:rsid w:val="577944E9"/>
    <w:rsid w:val="578A70B2"/>
    <w:rsid w:val="57AB5A7A"/>
    <w:rsid w:val="57D703B7"/>
    <w:rsid w:val="583A7D31"/>
    <w:rsid w:val="585F2281"/>
    <w:rsid w:val="58894D95"/>
    <w:rsid w:val="58977563"/>
    <w:rsid w:val="58B048B9"/>
    <w:rsid w:val="58B91E16"/>
    <w:rsid w:val="59256757"/>
    <w:rsid w:val="593375EA"/>
    <w:rsid w:val="59742667"/>
    <w:rsid w:val="597B16A7"/>
    <w:rsid w:val="59883324"/>
    <w:rsid w:val="5A7378E0"/>
    <w:rsid w:val="5A7C58D6"/>
    <w:rsid w:val="5A8309EF"/>
    <w:rsid w:val="5A944543"/>
    <w:rsid w:val="5A961524"/>
    <w:rsid w:val="5AD50881"/>
    <w:rsid w:val="5B1F3809"/>
    <w:rsid w:val="5B7A0735"/>
    <w:rsid w:val="5BC125EE"/>
    <w:rsid w:val="5C047E99"/>
    <w:rsid w:val="5C5932FA"/>
    <w:rsid w:val="5C5E239E"/>
    <w:rsid w:val="5C6F38B0"/>
    <w:rsid w:val="5C7348A9"/>
    <w:rsid w:val="5CE178E0"/>
    <w:rsid w:val="5D1037D6"/>
    <w:rsid w:val="5D346748"/>
    <w:rsid w:val="5D5119D0"/>
    <w:rsid w:val="5D670D19"/>
    <w:rsid w:val="5D8500C3"/>
    <w:rsid w:val="5DC54399"/>
    <w:rsid w:val="5DDD676C"/>
    <w:rsid w:val="5DF50356"/>
    <w:rsid w:val="5F025F2B"/>
    <w:rsid w:val="5F125787"/>
    <w:rsid w:val="5F1439AC"/>
    <w:rsid w:val="5F323CB1"/>
    <w:rsid w:val="5FCB6138"/>
    <w:rsid w:val="5FEE4EF0"/>
    <w:rsid w:val="5FF936BA"/>
    <w:rsid w:val="601839BF"/>
    <w:rsid w:val="603F30B2"/>
    <w:rsid w:val="604F0A08"/>
    <w:rsid w:val="60772EA1"/>
    <w:rsid w:val="60BF303A"/>
    <w:rsid w:val="61272664"/>
    <w:rsid w:val="613C33B0"/>
    <w:rsid w:val="6151694F"/>
    <w:rsid w:val="619B3B93"/>
    <w:rsid w:val="620F04F4"/>
    <w:rsid w:val="625243C2"/>
    <w:rsid w:val="62D63E36"/>
    <w:rsid w:val="63020E57"/>
    <w:rsid w:val="631B02C3"/>
    <w:rsid w:val="634A513A"/>
    <w:rsid w:val="637328E3"/>
    <w:rsid w:val="63F405EF"/>
    <w:rsid w:val="64510A98"/>
    <w:rsid w:val="64A53D52"/>
    <w:rsid w:val="64C8063C"/>
    <w:rsid w:val="64E11084"/>
    <w:rsid w:val="65535F7C"/>
    <w:rsid w:val="65D55FEA"/>
    <w:rsid w:val="66056F47"/>
    <w:rsid w:val="661F4331"/>
    <w:rsid w:val="666D614D"/>
    <w:rsid w:val="66B10DB1"/>
    <w:rsid w:val="66DA6FCC"/>
    <w:rsid w:val="66DD37A5"/>
    <w:rsid w:val="66E21ED6"/>
    <w:rsid w:val="67AB18E7"/>
    <w:rsid w:val="67E22FA9"/>
    <w:rsid w:val="67FF6DDE"/>
    <w:rsid w:val="68413AAE"/>
    <w:rsid w:val="688C2C9A"/>
    <w:rsid w:val="68D65133"/>
    <w:rsid w:val="691335D6"/>
    <w:rsid w:val="697A0E87"/>
    <w:rsid w:val="69A67633"/>
    <w:rsid w:val="69DA5F11"/>
    <w:rsid w:val="6AA70096"/>
    <w:rsid w:val="6AEB5943"/>
    <w:rsid w:val="6B21672F"/>
    <w:rsid w:val="6BC258A9"/>
    <w:rsid w:val="6C6B584B"/>
    <w:rsid w:val="6C7D037B"/>
    <w:rsid w:val="6CF74F1F"/>
    <w:rsid w:val="6D0631E1"/>
    <w:rsid w:val="6D0A424A"/>
    <w:rsid w:val="6D4612A2"/>
    <w:rsid w:val="6D512855"/>
    <w:rsid w:val="6D561E1D"/>
    <w:rsid w:val="6DB565A6"/>
    <w:rsid w:val="6DC90769"/>
    <w:rsid w:val="6E1653F4"/>
    <w:rsid w:val="6E2319BA"/>
    <w:rsid w:val="6E430DD7"/>
    <w:rsid w:val="6E5565C2"/>
    <w:rsid w:val="6EA10576"/>
    <w:rsid w:val="6EA51D44"/>
    <w:rsid w:val="6EA53EDD"/>
    <w:rsid w:val="6EB7116E"/>
    <w:rsid w:val="6F1B1FB0"/>
    <w:rsid w:val="6F7105C2"/>
    <w:rsid w:val="6F886179"/>
    <w:rsid w:val="6FFB44C5"/>
    <w:rsid w:val="708D2F3F"/>
    <w:rsid w:val="70962897"/>
    <w:rsid w:val="70AE17B7"/>
    <w:rsid w:val="70CA72A9"/>
    <w:rsid w:val="70CB7C00"/>
    <w:rsid w:val="70CE2C13"/>
    <w:rsid w:val="7103337B"/>
    <w:rsid w:val="722379AC"/>
    <w:rsid w:val="724437E2"/>
    <w:rsid w:val="72930BD0"/>
    <w:rsid w:val="72961E9A"/>
    <w:rsid w:val="72A175B1"/>
    <w:rsid w:val="72DC78A1"/>
    <w:rsid w:val="73160062"/>
    <w:rsid w:val="736C3213"/>
    <w:rsid w:val="73AF63A9"/>
    <w:rsid w:val="73C104FC"/>
    <w:rsid w:val="73D52F6E"/>
    <w:rsid w:val="73E07F7F"/>
    <w:rsid w:val="74064D74"/>
    <w:rsid w:val="740A7C2A"/>
    <w:rsid w:val="740C55B3"/>
    <w:rsid w:val="741B0095"/>
    <w:rsid w:val="74485E00"/>
    <w:rsid w:val="74645932"/>
    <w:rsid w:val="74894493"/>
    <w:rsid w:val="749222E1"/>
    <w:rsid w:val="74C90A60"/>
    <w:rsid w:val="74CA55B0"/>
    <w:rsid w:val="74EA4F0F"/>
    <w:rsid w:val="751C5D16"/>
    <w:rsid w:val="753045A8"/>
    <w:rsid w:val="757D7BEA"/>
    <w:rsid w:val="75C41942"/>
    <w:rsid w:val="76795058"/>
    <w:rsid w:val="76D14389"/>
    <w:rsid w:val="77283827"/>
    <w:rsid w:val="772C1179"/>
    <w:rsid w:val="773C5F41"/>
    <w:rsid w:val="7783365C"/>
    <w:rsid w:val="77BF38EF"/>
    <w:rsid w:val="77F55FDA"/>
    <w:rsid w:val="78AC0BE9"/>
    <w:rsid w:val="78D03CE1"/>
    <w:rsid w:val="78DE6A49"/>
    <w:rsid w:val="78F13144"/>
    <w:rsid w:val="790E164F"/>
    <w:rsid w:val="792C1A94"/>
    <w:rsid w:val="793A2915"/>
    <w:rsid w:val="79454A1C"/>
    <w:rsid w:val="798C6DF8"/>
    <w:rsid w:val="79F048F9"/>
    <w:rsid w:val="7A631618"/>
    <w:rsid w:val="7ACA3E9B"/>
    <w:rsid w:val="7ADA0AAC"/>
    <w:rsid w:val="7B5B56D5"/>
    <w:rsid w:val="7B6E7D06"/>
    <w:rsid w:val="7C09707F"/>
    <w:rsid w:val="7C1D4B88"/>
    <w:rsid w:val="7C4F68D4"/>
    <w:rsid w:val="7C646557"/>
    <w:rsid w:val="7C7F3FEF"/>
    <w:rsid w:val="7CBC1C3D"/>
    <w:rsid w:val="7CD725F1"/>
    <w:rsid w:val="7D1E6595"/>
    <w:rsid w:val="7D717D4B"/>
    <w:rsid w:val="7D750330"/>
    <w:rsid w:val="7DA31E72"/>
    <w:rsid w:val="7DE57887"/>
    <w:rsid w:val="7EAE68EC"/>
    <w:rsid w:val="7EB43D05"/>
    <w:rsid w:val="7ED20C7B"/>
    <w:rsid w:val="7F202CCF"/>
    <w:rsid w:val="7F43749F"/>
    <w:rsid w:val="7FE044DB"/>
    <w:rsid w:val="7FE53B26"/>
    <w:rsid w:val="7FE55DEE"/>
    <w:rsid w:val="7FFC3E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0"/>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semiHidden/>
    <w:unhideWhenUsed/>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footnote text"/>
    <w:basedOn w:val="1"/>
    <w:unhideWhenUsed/>
    <w:qFormat/>
    <w:uiPriority w:val="99"/>
    <w:pPr>
      <w:snapToGrid w:val="0"/>
      <w:jc w:val="left"/>
    </w:pPr>
    <w:rPr>
      <w:sz w:val="18"/>
      <w:szCs w:val="18"/>
    </w:r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Autospacing="1" w:afterAutospacing="1"/>
      <w:jc w:val="left"/>
    </w:pPr>
    <w:rPr>
      <w:kern w:val="0"/>
      <w:sz w:val="24"/>
    </w:rPr>
  </w:style>
  <w:style w:type="character" w:customStyle="1" w:styleId="10">
    <w:name w:val="NormalCharacter"/>
    <w:link w:val="1"/>
    <w:qFormat/>
    <w:uiPriority w:val="0"/>
    <w:rPr>
      <w:rFonts w:asciiTheme="minorHAnsi" w:hAnsiTheme="minorHAnsi" w:eastAsiaTheme="minorEastAsia" w:cstheme="minorBidi"/>
      <w:kern w:val="2"/>
      <w:sz w:val="21"/>
      <w:szCs w:val="24"/>
      <w:lang w:val="en-US" w:eastAsia="zh-CN" w:bidi="ar-SA"/>
    </w:rPr>
  </w:style>
  <w:style w:type="paragraph" w:customStyle="1" w:styleId="11">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2021-03-24T09:28:00Z</dcterms:created>
  <dc:creator>admin</dc:creator>
  <cp:lastModifiedBy>hp</cp:lastModifiedBy>
  <cp:lastPrinted>2021-04-06T01:16:00Z</cp:lastPrinted>
  <dcterms:modified xsi:type="dcterms:W3CDTF">2021-04-27T09:46:01Z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C1B315FE9EF94367B2FDED42A94A2ABC</vt:lpwstr>
  </property>
</Properties>
</file>